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pPr>
      <w:r>
        <w:drawing>
          <wp:inline distT="0" distB="0" distL="0" distR="0">
            <wp:extent cx="2095500" cy="552450"/>
            <wp:effectExtent t="0" r="0" b="0" l="0"/>
            <wp:docPr id="1" name="Sovereign Secure logo" descr="Sovereign Secure logo" title="Sovereign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p>
      <w:pPr>
        <w:spacing w:after="80"/>
      </w:pPr>
      <w:r>
        <w:rPr>
          <w:b/>
          <w:bCs/>
          <w:color w:val="E02840"/>
          <w:spacing w:val="20"/>
          <w:sz w:val="20"/>
          <w:szCs w:val="20"/>
        </w:rPr>
        <w:t xml:space="preserve">FREE ISO 27001 TOOLKIT</w:t>
      </w:r>
    </w:p>
    <w:p>
      <w:pPr>
        <w:spacing w:after="120"/>
      </w:pPr>
      <w:r>
        <w:rPr>
          <w:b/>
          <w:bCs/>
          <w:color w:val="102838"/>
          <w:sz w:val="52"/>
          <w:szCs w:val="52"/>
        </w:rPr>
        <w:t xml:space="preserve">Supplier Security Policy Template</w:t>
      </w:r>
    </w:p>
    <w:p>
      <w:pPr>
        <w:spacing w:after="120"/>
      </w:pPr>
      <w:r>
        <w:rPr>
          <w:color w:val="5B6770"/>
          <w:sz w:val="24"/>
          <w:szCs w:val="24"/>
        </w:rPr>
        <w:t xml:space="preserve">A topic-specific policy for ISO/IEC 27001:2022, supporting Annex A controls 5.19 to 5.23 on suppliers, the ICT supply chain and cloud services</w:t>
      </w:r>
    </w:p>
    <w:p>
      <w:pPr>
        <w:pBdr>
          <w:bottom w:val="single" w:color="E02840" w:sz="18" w:space="1"/>
        </w:pBdr>
        <w:spacing w:after="240" w:before="0"/>
      </w:pPr>
    </w:p>
    <w:p>
      <w:pPr>
        <w:spacing w:after="60"/>
      </w:pPr>
      <w:r>
        <w:rPr>
          <w:b/>
          <w:bCs/>
          <w:color w:val="E02840"/>
        </w:rPr>
        <w:t xml:space="preserve">Version  </w:t>
      </w:r>
      <w:r>
        <w:t xml:space="preserve">October 2026</w:t>
      </w:r>
    </w:p>
    <w:p>
      <w:pPr>
        <w:spacing w:after="60"/>
      </w:pPr>
      <w:r>
        <w:rPr>
          <w:b/>
          <w:bCs/>
          <w:color w:val="E02840"/>
        </w:rPr>
        <w:t xml:space="preserve">Published by  </w:t>
      </w:r>
      <w:r>
        <w:t xml:space="preserve">Sovereign Secure Ltd, </w:t>
      </w:r>
      <w:hyperlink w:history="1" r:id="rIdpba9y8th7adsomi6zbsfk">
        <w:r>
          <w:rPr>
            <w:rStyle w:val="Hyperlink"/>
          </w:rPr>
          <w:t xml:space="preserve">sovereignsecure.co.uk</w:t>
        </w:r>
      </w:hyperlink>
    </w:p>
    <w:p>
      <w:pPr>
        <w:spacing w:after="360"/>
      </w:pPr>
      <w:r>
        <w:rPr>
          <w:b/>
          <w:bCs/>
          <w:color w:val="E02840"/>
        </w:rPr>
        <w:t xml:space="preserve">Help  </w:t>
      </w:r>
      <w:r>
        <w:t xml:space="preserve">+44 161 523 5276  |  contactus@sovereignsecure.co.uk</w:t>
      </w:r>
    </w:p>
    <w:p>
      <w:pPr>
        <w:pStyle w:val="Heading1"/>
      </w:pPr>
      <w:r>
        <w:t xml:space="preserve">About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it is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free, editable supplier security policy for small and mid-sized organisations working towards ISO/IEC 27001:2022. It sets out how to tier suppliers by risk, check their security before you sign, agree security terms in contracts, manage cloud services and the ICT supply chain, review suppliers over time and exit safely. It is one of the topic-specific policies that Annex A control 5.1 expects. It accompanies our free ISO 27001 toolkit at </w:t>
            </w:r>
            <w:hyperlink w:history="1" r:id="rIdfsu2y1v6lt00xduj8wghn">
              <w:r>
                <w:rPr>
                  <w:rStyle w:val="Hyperlink"/>
                  <w:sz w:val="20"/>
                  <w:szCs w:val="20"/>
                </w:rPr>
                <w:t xml:space="preserve">sovereignsecure.co.uk/iso-27001-policy-templates/</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is inside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Part A: supplier security policy template, with document control</w:t>
            </w:r>
          </w:p>
          <w:p>
            <w:pPr>
              <w:spacing w:after="60" w:before="0"/>
            </w:pPr>
            <w:r>
              <w:rPr>
                <w:sz w:val="20"/>
                <w:szCs w:val="20"/>
              </w:rPr>
              <w:t xml:space="preserve">Part B: the Annex A controls this policy supports, section by section</w:t>
            </w:r>
          </w:p>
          <w:p>
            <w:pPr>
              <w:spacing w:after="60" w:before="0"/>
            </w:pPr>
            <w:r>
              <w:rPr>
                <w:sz w:val="20"/>
                <w:szCs w:val="20"/>
              </w:rPr>
              <w:t xml:space="preserve">Part C: evidence auditors ask for, and checks before you approve</w:t>
            </w:r>
          </w:p>
          <w:p>
            <w:pPr>
              <w:spacing w:after="60" w:before="0"/>
            </w:pPr>
            <w:r>
              <w:rPr>
                <w:sz w:val="20"/>
                <w:szCs w:val="20"/>
              </w:rPr>
              <w:t xml:space="preserve">Appendix A: supplier agreement security checklist</w:t>
            </w:r>
          </w:p>
          <w:p>
            <w:pPr>
              <w:spacing w:after="60" w:before="0"/>
            </w:pPr>
            <w:r>
              <w:rPr>
                <w:sz w:val="20"/>
                <w:szCs w:val="20"/>
              </w:rPr>
              <w:t xml:space="preserve">Appendix B: supplier due diligence questions</w:t>
            </w:r>
          </w:p>
          <w:p>
            <w:pPr>
              <w:spacing w:after="60" w:before="0"/>
            </w:pPr>
            <w:r>
              <w:rPr>
                <w:sz w:val="20"/>
                <w:szCs w:val="20"/>
              </w:rPr>
              <w:t xml:space="preserve">Appendix C: supplier register</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Annex A controls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5.19 Information security in supplier relationships</w:t>
            </w:r>
          </w:p>
          <w:p>
            <w:pPr>
              <w:spacing w:after="60" w:before="0"/>
            </w:pPr>
            <w:r>
              <w:rPr>
                <w:sz w:val="20"/>
                <w:szCs w:val="20"/>
              </w:rPr>
              <w:t xml:space="preserve">5.20 Addressing information security within supplier agreements</w:t>
            </w:r>
          </w:p>
          <w:p>
            <w:pPr>
              <w:spacing w:after="60" w:before="0"/>
            </w:pPr>
            <w:r>
              <w:rPr>
                <w:sz w:val="20"/>
                <w:szCs w:val="20"/>
              </w:rPr>
              <w:t xml:space="preserve">5.21 Managing information security in the ICT supply chain</w:t>
            </w:r>
          </w:p>
          <w:p>
            <w:pPr>
              <w:spacing w:after="60" w:before="0"/>
            </w:pPr>
            <w:r>
              <w:rPr>
                <w:sz w:val="20"/>
                <w:szCs w:val="20"/>
              </w:rPr>
              <w:t xml:space="preserve">5.22 Monitoring, review and change management of supplier services</w:t>
            </w:r>
          </w:p>
          <w:p>
            <w:pPr>
              <w:spacing w:after="60" w:before="0"/>
            </w:pPr>
            <w:r>
              <w:rPr>
                <w:sz w:val="20"/>
                <w:szCs w:val="20"/>
              </w:rPr>
              <w:t xml:space="preserve">5.23 Information security for use of cloud services</w:t>
            </w:r>
          </w:p>
          <w:p>
            <w:pPr>
              <w:spacing w:after="60" w:before="0"/>
            </w:pPr>
            <w:r>
              <w:rPr>
                <w:sz w:val="20"/>
                <w:szCs w:val="20"/>
              </w:rPr>
              <w:t xml:space="preserve">It also supports 5.14, 5.18, 5.24, 5.31, 5.34, 6.6 and 8.30 (see Part B).</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Related templates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is a topic-specific policy under the information security policy that clause 5.2 requires. The same toolkit has a free information security policy template and access control, acceptable use and cryptography policy templates in the same format.</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Version</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October 2026. Clause and control numbers refer to ISO/IEC 27001:2022 and ISO/IEC 27002:2022.</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The standard</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template does not reproduce ISO/IEC 27001 or ISO/IEC 27002; control numbers and titles are given for reference only. The official text is available from ISO (</w:t>
            </w:r>
            <w:hyperlink w:history="1" r:id="rIdumvwougyt3g-h9cxaheie">
              <w:r>
                <w:rPr>
                  <w:rStyle w:val="Hyperlink"/>
                  <w:sz w:val="20"/>
                  <w:szCs w:val="20"/>
                </w:rPr>
                <w:t xml:space="preserve">iso.org/standard/27001</w:t>
              </w:r>
            </w:hyperlink>
            <w:r>
              <w:rPr>
                <w:sz w:val="20"/>
                <w:szCs w:val="20"/>
              </w:rPr>
              <w:t xml:space="preserve">) or a national standards body such as BSI.</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Licence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Free to use and adapt within your organisation.</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Not audit evidence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template is a drafting aid, not evidence. Certification auditors test your policies against your scope, your risk assessment, your Statement of Applicability and your records, so templates alone will not get you certified.</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Getting help</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For help tailoring the full policy set, use the enquiry form on </w:t>
            </w:r>
            <w:hyperlink w:history="1" w:anchor="enquire" r:id="rIddiayottkzymx_rwejsg2r">
              <w:r>
                <w:rPr>
                  <w:rStyle w:val="Hyperlink"/>
                  <w:sz w:val="20"/>
                  <w:szCs w:val="20"/>
                </w:rPr>
                <w:t xml:space="preserve">our ISO 27001 policy templates page</w:t>
              </w:r>
            </w:hyperlink>
            <w:r>
              <w:rPr>
                <w:sz w:val="20"/>
                <w:szCs w:val="20"/>
              </w:rPr>
              <w:t xml:space="preserve">, which is already set to ISO 27001, or call +44 161 523 5276. Sovereign Secure Ltd is ISO 27001 certified and provides ISO 27001 consultancy; certification audits are carried out by our partner, the independent certification body MQA International.</w:t>
            </w:r>
          </w:p>
        </w:tc>
      </w:tr>
    </w:tbl>
    <w:p>
      <w:pPr>
        <w:pStyle w:val="Heading1"/>
        <w:pageBreakBefore/>
      </w:pPr>
      <w:r>
        <w:t xml:space="preserve">How to use this template</w:t>
      </w:r>
    </w:p>
    <w:p>
      <w:pPr>
        <w:pStyle w:val="ListParagraph"/>
        <w:numPr>
          <w:ilvl w:val="0"/>
          <w:numId w:val="2"/>
        </w:numPr>
        <w:spacing w:after="90"/>
      </w:pPr>
      <w:r>
        <w:t xml:space="preserve">Copy Part A into your own document, replace everything in </w:t>
      </w:r>
      <w:r>
        <w:rPr>
          <w:highlight w:val="yellow"/>
        </w:rPr>
        <w:t xml:space="preserve">[square brackets]</w:t>
      </w:r>
      <w:r>
        <w:t xml:space="preserve"> and remove anything that does not apply. Placeholders are highlighted so none are missed; remove the highlight once each is filled in.</w:t>
      </w:r>
    </w:p>
    <w:p>
      <w:pPr>
        <w:pStyle w:val="ListParagraph"/>
        <w:numPr>
          <w:ilvl w:val="0"/>
          <w:numId w:val="2"/>
        </w:numPr>
        <w:spacing w:after="90"/>
      </w:pPr>
      <w:r>
        <w:t xml:space="preserve">Check the policy against your Statement of Applicability. Keep the rules for controls you have included, and delete rules that only serve controls you have excluded.</w:t>
      </w:r>
    </w:p>
    <w:p>
      <w:pPr>
        <w:pStyle w:val="ListParagraph"/>
        <w:numPr>
          <w:ilvl w:val="0"/>
          <w:numId w:val="2"/>
        </w:numPr>
        <w:spacing w:after="90"/>
      </w:pPr>
      <w:r>
        <w:t xml:space="preserve">Start from what you actually buy. Pull a list of suppliers from your accounts payable and company card records, and add free and trial cloud services, before you decide which are in scope.</w:t>
      </w:r>
    </w:p>
    <w:p>
      <w:pPr>
        <w:pStyle w:val="ListParagraph"/>
        <w:numPr>
          <w:ilvl w:val="0"/>
          <w:numId w:val="2"/>
        </w:numPr>
        <w:spacing w:after="90"/>
      </w:pPr>
      <w:r>
        <w:t xml:space="preserve">Keep the assurance asked of each tier (section 3) proportionate. A small organisation cannot audit a global cloud provider, but it can check the provider's certificate or assurance report, configure its own side of the service well and plan its exit.</w:t>
      </w:r>
    </w:p>
    <w:p>
      <w:pPr>
        <w:pStyle w:val="ListParagraph"/>
        <w:numPr>
          <w:ilvl w:val="0"/>
          <w:numId w:val="2"/>
        </w:numPr>
        <w:spacing w:after="90"/>
      </w:pPr>
      <w:r>
        <w:t xml:space="preserve">If personal data is involved, agree the data processing terms (section 4) with whoever handles data protection, so the security and UK GDPR checks happen together.</w:t>
      </w:r>
    </w:p>
    <w:p>
      <w:pPr>
        <w:pStyle w:val="ListParagraph"/>
        <w:numPr>
          <w:ilvl w:val="0"/>
          <w:numId w:val="2"/>
        </w:numPr>
        <w:spacing w:after="90"/>
      </w:pPr>
      <w:r>
        <w:t xml:space="preserve">Delete the guidance notes, these instructions, Parts B and C and the Sovereign Secure footer before you issue the policy. Keep any appendices you use as working records.</w:t>
      </w:r>
    </w:p>
    <w:p>
      <w:pPr>
        <w:pStyle w:val="Heading2"/>
      </w:pPr>
      <w:r>
        <w:t xml:space="preserve">Tailoring steps</w:t>
      </w:r>
    </w:p>
    <w:p>
      <w:pPr>
        <w:pStyle w:val="ListParagraph"/>
        <w:numPr>
          <w:ilvl w:val="0"/>
          <w:numId w:val="3"/>
        </w:numPr>
        <w:spacing w:after="90"/>
      </w:pPr>
      <w:r>
        <w:rPr>
          <w:b/>
          <w:bCs/>
        </w:rPr>
        <w:t xml:space="preserve">Build the supplier register first</w:t>
      </w:r>
      <w:r>
        <w:t xml:space="preserve"> (Appendix C) from your finance records, then give each supplier a tier using the table in section 3.</w:t>
      </w:r>
    </w:p>
    <w:p>
      <w:pPr>
        <w:pStyle w:val="ListParagraph"/>
        <w:numPr>
          <w:ilvl w:val="0"/>
          <w:numId w:val="3"/>
        </w:numPr>
        <w:spacing w:after="90"/>
      </w:pPr>
      <w:r>
        <w:rPr>
          <w:b/>
          <w:bCs/>
        </w:rPr>
        <w:t xml:space="preserve">Name a supplier owner</w:t>
      </w:r>
      <w:r>
        <w:t xml:space="preserve"> for every critical and high tier supplier: the person who manages the relationship day to day.</w:t>
      </w:r>
    </w:p>
    <w:p>
      <w:pPr>
        <w:pStyle w:val="ListParagraph"/>
        <w:numPr>
          <w:ilvl w:val="0"/>
          <w:numId w:val="3"/>
        </w:numPr>
        <w:spacing w:after="90"/>
      </w:pPr>
      <w:r>
        <w:rPr>
          <w:b/>
          <w:bCs/>
        </w:rPr>
        <w:t xml:space="preserve">Check existing contracts</w:t>
      </w:r>
      <w:r>
        <w:t xml:space="preserve"> for critical suppliers against the checklist in Appendix A, and record any gaps and how you treat them.</w:t>
      </w:r>
    </w:p>
    <w:p>
      <w:pPr>
        <w:pStyle w:val="ListParagraph"/>
        <w:numPr>
          <w:ilvl w:val="0"/>
          <w:numId w:val="3"/>
        </w:numPr>
        <w:spacing w:after="90"/>
      </w:pPr>
      <w:r>
        <w:rPr>
          <w:b/>
          <w:bCs/>
        </w:rPr>
        <w:t xml:space="preserve">Check each rule against reality.</w:t>
      </w:r>
      <w:r>
        <w:t xml:space="preserve"> If you have never reviewed a supplier, say so in your gap analysis and start with the critical ones, rather than promising annual reviews you will not do.</w:t>
      </w:r>
    </w:p>
    <w:p>
      <w:pPr>
        <w:pStyle w:val="ListParagraph"/>
        <w:numPr>
          <w:ilvl w:val="0"/>
          <w:numId w:val="3"/>
        </w:numPr>
        <w:spacing w:after="90"/>
      </w:pPr>
      <w:r>
        <w:rPr>
          <w:b/>
          <w:bCs/>
        </w:rPr>
        <w:t xml:space="preserve">Approve and communicate the policy</w:t>
      </w:r>
      <w:r>
        <w:t xml:space="preserve"> (Annex A 5.1) to everyone who buys or manages suppliers, including finance.</w:t>
      </w:r>
    </w:p>
    <w:p>
      <w:pPr>
        <w:pStyle w:val="ListParagraph"/>
        <w:numPr>
          <w:ilvl w:val="0"/>
          <w:numId w:val="3"/>
        </w:numPr>
        <w:spacing w:after="90"/>
      </w:pPr>
      <w:r>
        <w:rPr>
          <w:b/>
          <w:bCs/>
        </w:rPr>
        <w:t xml:space="preserve">Put it under document control</w:t>
      </w:r>
      <w:r>
        <w:t xml:space="preserve"> (clause 7.5) with an owner, version and review date, and add it to your document register.</w:t>
      </w:r>
    </w:p>
    <w:p>
      <w:pPr>
        <w:pStyle w:val="ListParagraph"/>
        <w:numPr>
          <w:ilvl w:val="0"/>
          <w:numId w:val="3"/>
        </w:numPr>
        <w:spacing w:after="90"/>
      </w:pPr>
      <w:r>
        <w:rPr>
          <w:b/>
          <w:bCs/>
        </w:rPr>
        <w:t xml:space="preserve">Run the first critical supplier reviews</w:t>
      </w:r>
      <w:r>
        <w:t xml:space="preserve"> and record them in the register, so you have evidence before the audit.</w:t>
      </w:r>
    </w:p>
    <w:p>
      <w:pPr>
        <w:spacing w:after="140" w:before="120"/>
      </w:pPr>
      <w:r>
        <w:t xml:space="preserve">If personal data is in scope, your policies also help show the appropriate security that UK GDPR expects; the ICO's </w:t>
      </w:r>
      <w:hyperlink w:history="1" r:id="rIdp1cpnr8vutwr9hwrypkjl">
        <w:r>
          <w:rPr>
            <w:rStyle w:val="Hyperlink"/>
          </w:rPr>
          <w:t xml:space="preserve">guide to data security</w:t>
        </w:r>
      </w:hyperlink>
      <w:r>
        <w:t xml:space="preserve"> explains what it looks for.</w:t>
      </w:r>
    </w:p>
    <w:p>
      <w:pPr>
        <w:pStyle w:val="Heading1"/>
        <w:pageBreakBefore/>
      </w:pPr>
      <w:r>
        <w:t xml:space="preserve">Part A: Supplier Security Policy template</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Guidance: </w:t>
      </w:r>
      <w:r>
        <w:t xml:space="preserve">Copy this into your own document, replace everything in </w:t>
      </w:r>
      <w:r>
        <w:rPr>
          <w:highlight w:val="yellow"/>
        </w:rPr>
        <w:t xml:space="preserve">[square brackets]</w:t>
      </w:r>
      <w:r>
        <w:t xml:space="preserve"> and remove anything that does not apply. Name your real systems, roles and timescales, and only write rules you can show are followed.</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Annex A 5.19 to 5.23: </w:t>
      </w:r>
      <w:r>
        <w:t xml:space="preserve">Processes are defined and put in place to manage the information security risks of using suppliers' products and services (5.19), security requirements are agreed with each supplier (5.20), ICT supply chain risks are managed (5.21), supplier security and service delivery are monitored, reviewed and changes managed (5.22), and cloud services are acquired, used, managed and exited in line with the organisation's security requirements (5.23).</w:t>
      </w:r>
    </w:p>
    <w:p>
      <w:pPr>
        <w:keepNext/>
        <w:spacing w:after="200" w:before="120"/>
      </w:pPr>
      <w:r>
        <w:rPr>
          <w:b/>
          <w:bCs/>
          <w:color w:val="102838"/>
          <w:sz w:val="32"/>
          <w:szCs w:val="32"/>
          <w:highlight w:val="yellow"/>
        </w:rPr>
        <w:t xml:space="preserve">[Organisation name]</w:t>
      </w:r>
      <w:r>
        <w:rPr>
          <w:b/>
          <w:bCs/>
          <w:color w:val="102838"/>
          <w:sz w:val="32"/>
          <w:szCs w:val="32"/>
        </w:rPr>
        <w:t xml:space="preserve"> Supplier Security Policy</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Classification</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[ISMS manager]</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 role]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[Internal]</w:t>
            </w:r>
          </w:p>
        </w:tc>
      </w:tr>
    </w:tbl>
    <w:p>
      <w:pPr>
        <w:spacing w:after="160" w:before="0"/>
      </w:pPr>
    </w:p>
    <w:p>
      <w:pPr>
        <w:keepNext/>
        <w:spacing w:after="80" w:before="0"/>
      </w:pPr>
      <w:r>
        <w:rPr>
          <w:b/>
          <w:bCs/>
        </w:rPr>
        <w:t xml:space="preserve">Version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600"/>
        <w:gridCol w:w="2200"/>
        <w:gridCol w:w="4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Author</w:t>
            </w:r>
          </w:p>
        </w:tc>
        <w:tc>
          <w:tcPr>
            <w:tcW w:type="dxa" w:w="4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Summary of changes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[1.0]</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[First issue]</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1. Purpose</w:t>
      </w:r>
    </w:p>
    <w:p>
      <w:pPr>
        <w:pStyle w:val="ListParagraph"/>
        <w:numPr>
          <w:ilvl w:val="0"/>
          <w:numId w:val="2"/>
        </w:numPr>
        <w:spacing w:after="90"/>
      </w:pPr>
      <w:r>
        <w:t xml:space="preserve">This policy sets out how </w:t>
      </w:r>
      <w:r>
        <w:rPr>
          <w:highlight w:val="yellow"/>
        </w:rPr>
        <w:t xml:space="preserve">[Organisation name]</w:t>
      </w:r>
      <w:r>
        <w:t xml:space="preserve"> manages the information security risks that come from using suppliers, including cloud services and the wider ICT supply chain, from selection through to exit.</w:t>
      </w:r>
    </w:p>
    <w:p>
      <w:pPr>
        <w:pStyle w:val="ListParagraph"/>
        <w:numPr>
          <w:ilvl w:val="0"/>
          <w:numId w:val="2"/>
        </w:numPr>
        <w:spacing w:after="90"/>
      </w:pPr>
      <w:r>
        <w:t xml:space="preserve">It supports Annex A controls 5.19 to 5.23 of ISO/IEC 27001:2022 and sits under our </w:t>
      </w:r>
      <w:r>
        <w:rPr>
          <w:highlight w:val="yellow"/>
        </w:rPr>
        <w:t xml:space="preserve">[Information Security Policy]</w:t>
      </w:r>
      <w:r>
        <w:t xml:space="preserve">.</w:t>
      </w:r>
    </w:p>
    <w:p>
      <w:pPr>
        <w:pStyle w:val="Heading2"/>
      </w:pPr>
      <w:r>
        <w:t xml:space="preserve">2. Scope</w:t>
      </w:r>
    </w:p>
    <w:p>
      <w:pPr>
        <w:pStyle w:val="ListParagraph"/>
        <w:numPr>
          <w:ilvl w:val="0"/>
          <w:numId w:val="2"/>
        </w:numPr>
        <w:spacing w:after="90"/>
      </w:pPr>
      <w:r>
        <w:t xml:space="preserve">It applies to every supplier that can access, process, store or transmit our information, connect to our systems or networks, provide ICT products or services we rely on, or whose failure would disrupt a critical service. Examples include </w:t>
      </w:r>
      <w:r>
        <w:rPr>
          <w:highlight w:val="yellow"/>
        </w:rPr>
        <w:t xml:space="preserve">[managed IT and security providers, cloud and software as a service providers, hosting, software developers, payroll, payment service providers, couriers and confidential waste contractors]</w:t>
      </w:r>
      <w:r>
        <w:t xml:space="preserve">.</w:t>
      </w:r>
    </w:p>
    <w:p>
      <w:pPr>
        <w:pStyle w:val="ListParagraph"/>
        <w:numPr>
          <w:ilvl w:val="0"/>
          <w:numId w:val="2"/>
        </w:numPr>
        <w:spacing w:after="90"/>
      </w:pPr>
      <w:r>
        <w:t xml:space="preserve">It applies to everyone who selects, buys, contracts with or manages a supplier, including purchases made on company cards and free or trial services.</w:t>
      </w:r>
    </w:p>
    <w:p>
      <w:pPr>
        <w:pStyle w:val="ListParagraph"/>
        <w:numPr>
          <w:ilvl w:val="0"/>
          <w:numId w:val="2"/>
        </w:numPr>
        <w:spacing w:after="90"/>
      </w:pPr>
      <w:r>
        <w:t xml:space="preserve">Suppliers with no access to our information or systems and no effect on critical services, such as </w:t>
      </w:r>
      <w:r>
        <w:rPr>
          <w:highlight w:val="yellow"/>
        </w:rPr>
        <w:t xml:space="preserve">[stationery suppliers]</w:t>
      </w:r>
      <w:r>
        <w:t xml:space="preserve">, are outside this policy.</w:t>
      </w:r>
    </w:p>
    <w:p>
      <w:pPr>
        <w:pStyle w:val="Heading2"/>
      </w:pPr>
      <w:r>
        <w:t xml:space="preserve">3. Supplier register and tiers</w:t>
      </w:r>
    </w:p>
    <w:p>
      <w:pPr>
        <w:keepNext/>
        <w:spacing w:after="100" w:before="0"/>
      </w:pPr>
      <w:r>
        <w:rPr>
          <w:i/>
          <w:iCs/>
          <w:color w:val="5B6770"/>
          <w:sz w:val="18"/>
          <w:szCs w:val="18"/>
        </w:rPr>
        <w:t xml:space="preserve">Supports Annex A 5.19 Information security in supplier relationships</w:t>
      </w:r>
    </w:p>
    <w:p>
      <w:pPr>
        <w:pStyle w:val="ListParagraph"/>
        <w:numPr>
          <w:ilvl w:val="0"/>
          <w:numId w:val="2"/>
        </w:numPr>
        <w:spacing w:after="90"/>
      </w:pPr>
      <w:r>
        <w:rPr>
          <w:highlight w:val="yellow"/>
        </w:rPr>
        <w:t xml:space="preserve">[ISMS manager]</w:t>
      </w:r>
      <w:r>
        <w:t xml:space="preserve"> keeps a supplier register (Appendix C) of every in-scope supplier, showing the service, the information and systems it can access, its tier, its owner, the contract and its assurance evidence.</w:t>
      </w:r>
    </w:p>
    <w:p>
      <w:pPr>
        <w:pStyle w:val="ListParagraph"/>
        <w:numPr>
          <w:ilvl w:val="0"/>
          <w:numId w:val="2"/>
        </w:numPr>
        <w:spacing w:after="90"/>
      </w:pPr>
      <w:r>
        <w:t xml:space="preserve">Each supplier is given a tier based on the information it handles and the impact if it fails or is compromised: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300"/>
        <w:gridCol w:w="3438"/>
        <w:gridCol w:w="1600"/>
      </w:tblGrid>
      <w:tr>
        <w:trPr>
          <w:cantSplit/>
          <w:tblHeader/>
        </w:trPr>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Tier</w:t>
            </w:r>
          </w:p>
        </w:tc>
        <w:tc>
          <w:tcPr>
            <w:tcW w:type="dxa" w:w="3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Typical suppliers</w:t>
            </w:r>
          </w:p>
        </w:tc>
        <w:tc>
          <w:tcPr>
            <w:tcW w:type="dxa" w:w="34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Minimum assurance before contract</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Review</w:t>
            </w:r>
          </w:p>
        </w:tc>
      </w:tr>
      <w:tr>
        <w:trPr>
          <w:cantSplit/>
        </w:trPr>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Critical</w:t>
            </w:r>
          </w:p>
        </w:tc>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Holds or can access confidential or personal data in bulk, has privileged access to our systems, or runs a service we cannot operate without, for example </w:t>
            </w:r>
            <w:r>
              <w:rPr>
                <w:b w:val="false"/>
                <w:bCs w:val="false"/>
                <w:sz w:val="20"/>
                <w:szCs w:val="20"/>
                <w:highlight w:val="yellow"/>
              </w:rPr>
              <w:t xml:space="preserve">[managed IT provider, core cloud platform, hosting, payment service provider]</w:t>
            </w:r>
          </w:p>
        </w:tc>
        <w:tc>
          <w:tcPr>
            <w:tcW w:type="dxa" w:w="3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Risk assessment, due diligence questions (Appendix B) and independent assurance, such as an ISO/IEC 27001 certificate covering the service, a SOC 2 Type 2 report or, for payment providers, a PCI DSS Attestation of Compliance; security clauses in the contract (Appendix A)</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At least every </w:t>
            </w:r>
            <w:r>
              <w:rPr>
                <w:b w:val="false"/>
                <w:bCs w:val="false"/>
                <w:sz w:val="20"/>
                <w:szCs w:val="20"/>
                <w:highlight w:val="yellow"/>
              </w:rPr>
              <w:t xml:space="preserve">[12]</w:t>
            </w:r>
            <w:r>
              <w:rPr>
                <w:b w:val="false"/>
                <w:bCs w:val="false"/>
                <w:sz w:val="20"/>
                <w:szCs w:val="20"/>
              </w:rPr>
              <w:t xml:space="preserve"> months</w:t>
            </w:r>
          </w:p>
        </w:tc>
      </w:tr>
      <w:tr>
        <w:trPr>
          <w:cantSplit/>
        </w:trPr>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High</w:t>
            </w:r>
          </w:p>
        </w:tc>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Handles some confidential or personal data, or has limited access to our systems</w:t>
            </w:r>
          </w:p>
        </w:tc>
        <w:tc>
          <w:tcPr>
            <w:tcW w:type="dxa" w:w="3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Due diligence questions and evidence such as an ISO/IEC 27001 certificate or Cyber Essentials Plus; security clauses in the contract</w:t>
            </w: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At least every </w:t>
            </w:r>
            <w:r>
              <w:rPr>
                <w:b w:val="false"/>
                <w:bCs w:val="false"/>
                <w:sz w:val="20"/>
                <w:szCs w:val="20"/>
                <w:highlight w:val="yellow"/>
              </w:rPr>
              <w:t xml:space="preserve">[24]</w:t>
            </w:r>
            <w:r>
              <w:rPr>
                <w:b w:val="false"/>
                <w:bCs w:val="false"/>
                <w:sz w:val="20"/>
                <w:szCs w:val="20"/>
              </w:rPr>
              <w:t xml:space="preserve"> months</w:t>
            </w:r>
          </w:p>
        </w:tc>
      </w:tr>
      <w:tr>
        <w:trPr>
          <w:cantSplit/>
        </w:trPr>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Low</w:t>
            </w:r>
          </w:p>
        </w:tc>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Limited access to non-sensitive information and easy to replace</w:t>
            </w:r>
          </w:p>
        </w:tc>
        <w:tc>
          <w:tcPr>
            <w:tcW w:type="dxa" w:w="3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Confidentiality terms where information is shared</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At contract renewal</w:t>
            </w:r>
          </w:p>
        </w:tc>
      </w:tr>
    </w:tbl>
    <w:p>
      <w:pPr>
        <w:spacing w:after="120" w:before="0"/>
      </w:pPr>
    </w:p>
    <w:p>
      <w:pPr>
        <w:pStyle w:val="ListParagraph"/>
        <w:numPr>
          <w:ilvl w:val="0"/>
          <w:numId w:val="2"/>
        </w:numPr>
        <w:spacing w:after="90"/>
      </w:pPr>
      <w:r>
        <w:t xml:space="preserve">The supplier owner reviews the tier when the service, the information involved or the access changes.</w:t>
      </w:r>
    </w:p>
    <w:p>
      <w:pPr>
        <w:pStyle w:val="Heading2"/>
      </w:pPr>
      <w:r>
        <w:t xml:space="preserve">4. Selecting and approving suppliers</w:t>
      </w:r>
    </w:p>
    <w:p>
      <w:pPr>
        <w:keepNext/>
        <w:spacing w:after="100" w:before="0"/>
      </w:pPr>
      <w:r>
        <w:rPr>
          <w:i/>
          <w:iCs/>
          <w:color w:val="5B6770"/>
          <w:sz w:val="18"/>
          <w:szCs w:val="18"/>
        </w:rPr>
        <w:t xml:space="preserve">Supports Annex A 5.19 Information security in supplier relationships; 5.21 Managing information security in the ICT supply chain</w:t>
      </w:r>
    </w:p>
    <w:p>
      <w:pPr>
        <w:pStyle w:val="ListParagraph"/>
        <w:numPr>
          <w:ilvl w:val="0"/>
          <w:numId w:val="2"/>
        </w:numPr>
        <w:spacing w:after="90"/>
      </w:pPr>
      <w:r>
        <w:t xml:space="preserve">Before we sign up, the supplier owner records the information and access involved, assesses the risk and collects the assurance needed for the tier. </w:t>
      </w:r>
      <w:r>
        <w:rPr>
          <w:highlight w:val="yellow"/>
        </w:rPr>
        <w:t xml:space="preserve">[ISMS manager]</w:t>
      </w:r>
      <w:r>
        <w:t xml:space="preserve"> approves critical and high tier suppliers before any contract is signed or information shared.</w:t>
      </w:r>
    </w:p>
    <w:p>
      <w:pPr>
        <w:pStyle w:val="ListParagraph"/>
        <w:numPr>
          <w:ilvl w:val="0"/>
          <w:numId w:val="2"/>
        </w:numPr>
        <w:spacing w:after="90"/>
      </w:pPr>
      <w:r>
        <w:t xml:space="preserve">Certificates and reports are checked for scope, issuing body and expiry date, so that the service we are buying is actually covered.</w:t>
      </w:r>
    </w:p>
    <w:p>
      <w:pPr>
        <w:pStyle w:val="ListParagraph"/>
        <w:numPr>
          <w:ilvl w:val="0"/>
          <w:numId w:val="2"/>
        </w:numPr>
        <w:spacing w:after="90"/>
      </w:pPr>
      <w:r>
        <w:t xml:space="preserve">Where a supplier will process personal data on our behalf, </w:t>
      </w:r>
      <w:r>
        <w:rPr>
          <w:highlight w:val="yellow"/>
        </w:rPr>
        <w:t xml:space="preserve">[data protection lead]</w:t>
      </w:r>
      <w:r>
        <w:t xml:space="preserve"> confirms it gives sufficient guarantees and that the contract includes the processor terms required by UK GDPR Article 28. Any transfer of personal data outside the UK must have a valid transfer mechanism.</w:t>
      </w:r>
    </w:p>
    <w:p>
      <w:pPr>
        <w:pStyle w:val="ListParagraph"/>
        <w:numPr>
          <w:ilvl w:val="0"/>
          <w:numId w:val="2"/>
        </w:numPr>
        <w:spacing w:after="90"/>
      </w:pPr>
      <w:r>
        <w:t xml:space="preserve">We do not share confidential information or give access to our systems until the contract, or at least a confidentiality agreement, is signed (6.6).</w:t>
      </w:r>
    </w:p>
    <w:p>
      <w:pPr>
        <w:pStyle w:val="ListParagraph"/>
        <w:numPr>
          <w:ilvl w:val="0"/>
          <w:numId w:val="2"/>
        </w:numPr>
        <w:spacing w:after="90"/>
      </w:pPr>
      <w:r>
        <w:t xml:space="preserve">Risks that cannot be reduced to an acceptable level are recorded in the risk register and accepted by the risk owner, or we do not use the supplier.</w:t>
      </w:r>
    </w:p>
    <w:p>
      <w:pPr>
        <w:pStyle w:val="Heading2"/>
      </w:pPr>
      <w:r>
        <w:t xml:space="preserve">5. Security in supplier agreements</w:t>
      </w:r>
    </w:p>
    <w:p>
      <w:pPr>
        <w:keepNext/>
        <w:spacing w:after="100" w:before="0"/>
      </w:pPr>
      <w:r>
        <w:rPr>
          <w:i/>
          <w:iCs/>
          <w:color w:val="5B6770"/>
          <w:sz w:val="18"/>
          <w:szCs w:val="18"/>
        </w:rPr>
        <w:t xml:space="preserve">Supports Annex A 5.20 Addressing information security within supplier agreements</w:t>
      </w:r>
    </w:p>
    <w:p>
      <w:pPr>
        <w:pStyle w:val="ListParagraph"/>
        <w:numPr>
          <w:ilvl w:val="0"/>
          <w:numId w:val="2"/>
        </w:numPr>
        <w:spacing w:after="90"/>
      </w:pPr>
      <w:r>
        <w:t xml:space="preserve">Contracts with critical and high tier suppliers include the security terms in Appendix A, in proportion to the risk.</w:t>
      </w:r>
    </w:p>
    <w:p>
      <w:pPr>
        <w:pStyle w:val="ListParagraph"/>
        <w:numPr>
          <w:ilvl w:val="0"/>
          <w:numId w:val="2"/>
        </w:numPr>
        <w:spacing w:after="90"/>
      </w:pPr>
      <w:r>
        <w:t xml:space="preserve">Where a supplier's standard terms cannot be changed, as is common with cloud services, the supplier owner checks them against Appendix A and records any gaps and how they are treated.</w:t>
      </w:r>
    </w:p>
    <w:p>
      <w:pPr>
        <w:pStyle w:val="ListParagraph"/>
        <w:numPr>
          <w:ilvl w:val="0"/>
          <w:numId w:val="2"/>
        </w:numPr>
        <w:spacing w:after="90"/>
      </w:pPr>
      <w:r>
        <w:t xml:space="preserve">Key terms include: the information and access involved; the security controls the supplier maintains; confidentiality; telling us about security incidents affecting our information within </w:t>
      </w:r>
      <w:r>
        <w:rPr>
          <w:highlight w:val="yellow"/>
        </w:rPr>
        <w:t xml:space="preserve">[24 hours]</w:t>
      </w:r>
      <w:r>
        <w:t xml:space="preserve">; our right to audit or to receive independent assurance; rules for subcontractors; where our information is held; and the return and secure deletion of our information at the end of the contract.</w:t>
      </w:r>
    </w:p>
    <w:p>
      <w:pPr>
        <w:pStyle w:val="ListParagraph"/>
        <w:numPr>
          <w:ilvl w:val="0"/>
          <w:numId w:val="2"/>
        </w:numPr>
        <w:spacing w:after="90"/>
      </w:pPr>
      <w:r>
        <w:t xml:space="preserve">Supplier personnel get access to our systems only through named accounts approved under the </w:t>
      </w:r>
      <w:r>
        <w:rPr>
          <w:highlight w:val="yellow"/>
        </w:rPr>
        <w:t xml:space="preserve">[Access Control Policy]</w:t>
      </w:r>
      <w:r>
        <w:t xml:space="preserve">, with the minimum access needed and an expiry date (5.18).</w:t>
      </w:r>
    </w:p>
    <w:p>
      <w:pPr>
        <w:pStyle w:val="ListParagraph"/>
        <w:numPr>
          <w:ilvl w:val="0"/>
          <w:numId w:val="2"/>
        </w:numPr>
        <w:spacing w:after="90"/>
      </w:pPr>
      <w:r>
        <w:rPr>
          <w:highlight w:val="yellow"/>
        </w:rPr>
        <w:t xml:space="preserve">[Finance, procurement or legal]</w:t>
      </w:r>
      <w:r>
        <w:t xml:space="preserve"> keeps signed agreements in </w:t>
      </w:r>
      <w:r>
        <w:rPr>
          <w:highlight w:val="yellow"/>
        </w:rPr>
        <w:t xml:space="preserve">[contract repository]</w:t>
      </w:r>
      <w:r>
        <w:t xml:space="preserve">, linked from the supplier register.</w:t>
      </w:r>
    </w:p>
    <w:p>
      <w:pPr>
        <w:pStyle w:val="Heading2"/>
      </w:pPr>
      <w:r>
        <w:t xml:space="preserve">6. ICT products and the supply chain</w:t>
      </w:r>
    </w:p>
    <w:p>
      <w:pPr>
        <w:keepNext/>
        <w:spacing w:after="100" w:before="0"/>
      </w:pPr>
      <w:r>
        <w:rPr>
          <w:i/>
          <w:iCs/>
          <w:color w:val="5B6770"/>
          <w:sz w:val="18"/>
          <w:szCs w:val="18"/>
        </w:rPr>
        <w:t xml:space="preserve">Supports Annex A 5.21 Managing information security in the ICT supply chain</w:t>
      </w:r>
    </w:p>
    <w:p>
      <w:pPr>
        <w:pStyle w:val="ListParagraph"/>
        <w:numPr>
          <w:ilvl w:val="0"/>
          <w:numId w:val="2"/>
        </w:numPr>
        <w:spacing w:after="90"/>
      </w:pPr>
      <w:r>
        <w:t xml:space="preserve">We buy hardware and software from the manufacturer or authorised resellers, and check software integrity, for example through digital signatures or published checksums, before installing it where we can.</w:t>
      </w:r>
    </w:p>
    <w:p>
      <w:pPr>
        <w:pStyle w:val="ListParagraph"/>
        <w:numPr>
          <w:ilvl w:val="0"/>
          <w:numId w:val="2"/>
        </w:numPr>
        <w:spacing w:after="90"/>
      </w:pPr>
      <w:r>
        <w:t xml:space="preserve">Before buying an ICT product, we check that security updates will be available for as long as we intend to use it, and we plan its replacement before support ends.</w:t>
      </w:r>
    </w:p>
    <w:p>
      <w:pPr>
        <w:pStyle w:val="ListParagraph"/>
        <w:numPr>
          <w:ilvl w:val="0"/>
          <w:numId w:val="2"/>
        </w:numPr>
        <w:spacing w:after="90"/>
      </w:pPr>
      <w:r>
        <w:t xml:space="preserve">Critical ICT suppliers must apply equivalent security requirements to their own subcontractors and tell us about subcontractors that will handle our information.</w:t>
      </w:r>
    </w:p>
    <w:p>
      <w:pPr>
        <w:pStyle w:val="ListParagraph"/>
        <w:numPr>
          <w:ilvl w:val="0"/>
          <w:numId w:val="2"/>
        </w:numPr>
        <w:spacing w:after="90"/>
      </w:pPr>
      <w:r>
        <w:t xml:space="preserve">For software that matters to us, we ask suppliers how they find and fix vulnerabilities in the components they use and, where available, for a software bill of materials (SBOM).</w:t>
      </w:r>
    </w:p>
    <w:p>
      <w:pPr>
        <w:pStyle w:val="ListParagraph"/>
        <w:numPr>
          <w:ilvl w:val="0"/>
          <w:numId w:val="2"/>
        </w:numPr>
        <w:spacing w:after="90"/>
      </w:pPr>
      <w:r>
        <w:t xml:space="preserve">Software developed for us by an external party follows the requirements in </w:t>
      </w:r>
      <w:r>
        <w:rPr>
          <w:highlight w:val="yellow"/>
        </w:rPr>
        <w:t xml:space="preserve">[Secure Development Policy]</w:t>
      </w:r>
      <w:r>
        <w:t xml:space="preserve"> (8.30).</w:t>
      </w:r>
    </w:p>
    <w:p>
      <w:pPr>
        <w:pStyle w:val="Heading2"/>
      </w:pPr>
      <w:r>
        <w:t xml:space="preserve">7. Cloud services</w:t>
      </w:r>
    </w:p>
    <w:p>
      <w:pPr>
        <w:keepNext/>
        <w:spacing w:after="100" w:before="0"/>
      </w:pPr>
      <w:r>
        <w:rPr>
          <w:i/>
          <w:iCs/>
          <w:color w:val="5B6770"/>
          <w:sz w:val="18"/>
          <w:szCs w:val="18"/>
        </w:rPr>
        <w:t xml:space="preserve">Supports Annex A 5.23 Information security for use of cloud services</w:t>
      </w:r>
    </w:p>
    <w:p>
      <w:pPr>
        <w:pStyle w:val="ListParagraph"/>
        <w:numPr>
          <w:ilvl w:val="0"/>
          <w:numId w:val="2"/>
        </w:numPr>
        <w:spacing w:after="90"/>
      </w:pPr>
      <w:r>
        <w:t xml:space="preserve">New cloud services, including free and trial services, are approved by </w:t>
      </w:r>
      <w:r>
        <w:rPr>
          <w:highlight w:val="yellow"/>
        </w:rPr>
        <w:t xml:space="preserve">[IT manager]</w:t>
      </w:r>
      <w:r>
        <w:t xml:space="preserve"> before any company information is put into them, and are added to the supplier register and the approved software list.</w:t>
      </w:r>
    </w:p>
    <w:p>
      <w:pPr>
        <w:pStyle w:val="ListParagraph"/>
        <w:numPr>
          <w:ilvl w:val="0"/>
          <w:numId w:val="2"/>
        </w:numPr>
        <w:spacing w:after="90"/>
      </w:pPr>
      <w:r>
        <w:t xml:space="preserve">For each critical cloud service we record which security controls the provider manages and which we manage, and we configure our part, including </w:t>
      </w:r>
      <w:r>
        <w:rPr>
          <w:highlight w:val="yellow"/>
        </w:rPr>
        <w:t xml:space="preserve">[single sign-on and MFA, administrator access, logging, retention and backup of our data]</w:t>
      </w:r>
      <w:r>
        <w:t xml:space="preserve">.</w:t>
      </w:r>
    </w:p>
    <w:p>
      <w:pPr>
        <w:pStyle w:val="ListParagraph"/>
        <w:numPr>
          <w:ilvl w:val="0"/>
          <w:numId w:val="2"/>
        </w:numPr>
        <w:spacing w:after="90"/>
      </w:pPr>
      <w:r>
        <w:t xml:space="preserve">We check where our data is stored and processed, and approve any location outside </w:t>
      </w:r>
      <w:r>
        <w:rPr>
          <w:highlight w:val="yellow"/>
        </w:rPr>
        <w:t xml:space="preserve">[the UK or the UK and EEA]</w:t>
      </w:r>
      <w:r>
        <w:t xml:space="preserve">.</w:t>
      </w:r>
    </w:p>
    <w:p>
      <w:pPr>
        <w:pStyle w:val="ListParagraph"/>
        <w:numPr>
          <w:ilvl w:val="0"/>
          <w:numId w:val="2"/>
        </w:numPr>
        <w:spacing w:after="90"/>
      </w:pPr>
      <w:r>
        <w:t xml:space="preserve">We keep the provider's current assurance, such as an ISO/IEC 27001 certificate (with ISO/IEC 27017 or ISO/IEC 27018 where offered) or a SOC 2 Type 2 report, and review it at least every </w:t>
      </w:r>
      <w:r>
        <w:rPr>
          <w:highlight w:val="yellow"/>
        </w:rPr>
        <w:t xml:space="preserve">[12]</w:t>
      </w:r>
      <w:r>
        <w:t xml:space="preserve"> months.</w:t>
      </w:r>
    </w:p>
    <w:p>
      <w:pPr>
        <w:pStyle w:val="ListParagraph"/>
        <w:numPr>
          <w:ilvl w:val="0"/>
          <w:numId w:val="2"/>
        </w:numPr>
        <w:spacing w:after="90"/>
      </w:pPr>
      <w:r>
        <w:t xml:space="preserve">We watch for provider notices of significant changes, such as new data locations, new subprocessors or changes to security features, and assess their effect before they take effect where we can.</w:t>
      </w:r>
    </w:p>
    <w:p>
      <w:pPr>
        <w:pStyle w:val="ListParagraph"/>
        <w:numPr>
          <w:ilvl w:val="0"/>
          <w:numId w:val="2"/>
        </w:numPr>
        <w:spacing w:after="90"/>
      </w:pPr>
      <w:r>
        <w:t xml:space="preserve">Each critical cloud service has an exit plan: how we get our data and configuration back in a usable format, how long the provider keeps it after exit, and how deletion is confirmed.</w:t>
      </w:r>
    </w:p>
    <w:p>
      <w:pPr>
        <w:pStyle w:val="Heading2"/>
      </w:pPr>
      <w:r>
        <w:t xml:space="preserve">8. Monitoring and review</w:t>
      </w:r>
    </w:p>
    <w:p>
      <w:pPr>
        <w:keepNext/>
        <w:spacing w:after="100" w:before="0"/>
      </w:pPr>
      <w:r>
        <w:rPr>
          <w:i/>
          <w:iCs/>
          <w:color w:val="5B6770"/>
          <w:sz w:val="18"/>
          <w:szCs w:val="18"/>
        </w:rPr>
        <w:t xml:space="preserve">Supports Annex A 5.22 Monitoring, review and change management of supplier services</w:t>
      </w:r>
    </w:p>
    <w:p>
      <w:pPr>
        <w:pStyle w:val="ListParagraph"/>
        <w:numPr>
          <w:ilvl w:val="0"/>
          <w:numId w:val="2"/>
        </w:numPr>
        <w:spacing w:after="90"/>
      </w:pPr>
      <w:r>
        <w:t xml:space="preserve">Each in-scope supplier has a named owner who manages the relationship and its security.</w:t>
      </w:r>
    </w:p>
    <w:p>
      <w:pPr>
        <w:pStyle w:val="ListParagraph"/>
        <w:numPr>
          <w:ilvl w:val="0"/>
          <w:numId w:val="2"/>
        </w:numPr>
        <w:spacing w:after="90"/>
      </w:pPr>
      <w:r>
        <w:t xml:space="preserve">Supplier owners review critical suppliers at least every </w:t>
      </w:r>
      <w:r>
        <w:rPr>
          <w:highlight w:val="yellow"/>
        </w:rPr>
        <w:t xml:space="preserve">[12]</w:t>
      </w:r>
      <w:r>
        <w:t xml:space="preserve"> months and high tier suppliers at least every </w:t>
      </w:r>
      <w:r>
        <w:rPr>
          <w:highlight w:val="yellow"/>
        </w:rPr>
        <w:t xml:space="preserve">[24]</w:t>
      </w:r>
      <w:r>
        <w:t xml:space="preserve"> months, checking service reports, incidents, changes to the service or subcontractors, open issues, and the expiry of certificates and reports. Each review is recorded in the supplier register.</w:t>
      </w:r>
    </w:p>
    <w:p>
      <w:pPr>
        <w:pStyle w:val="ListParagraph"/>
        <w:numPr>
          <w:ilvl w:val="0"/>
          <w:numId w:val="2"/>
        </w:numPr>
        <w:spacing w:after="90"/>
      </w:pPr>
      <w:r>
        <w:t xml:space="preserve">Changes by a supplier that affect security, such as new subcontractors, data locations or systems, are assessed before they take effect where the contract allows, and the risk register is updated.</w:t>
      </w:r>
    </w:p>
    <w:p>
      <w:pPr>
        <w:pStyle w:val="ListParagraph"/>
        <w:numPr>
          <w:ilvl w:val="0"/>
          <w:numId w:val="2"/>
        </w:numPr>
        <w:spacing w:after="90"/>
      </w:pPr>
      <w:r>
        <w:t xml:space="preserve">Security incidents involving a supplier are handled under our </w:t>
      </w:r>
      <w:r>
        <w:rPr>
          <w:highlight w:val="yellow"/>
        </w:rPr>
        <w:t xml:space="preserve">[Incident Response Plan]</w:t>
      </w:r>
      <w:r>
        <w:t xml:space="preserve"> (5.24). The supplier must cooperate, give us the information we need and fix the cause.</w:t>
      </w:r>
    </w:p>
    <w:p>
      <w:pPr>
        <w:pStyle w:val="ListParagraph"/>
        <w:numPr>
          <w:ilvl w:val="0"/>
          <w:numId w:val="2"/>
        </w:numPr>
        <w:spacing w:after="90"/>
      </w:pPr>
      <w:r>
        <w:t xml:space="preserve">Security issues found in a supplier are recorded and followed up until closed, and escalated to </w:t>
      </w:r>
      <w:r>
        <w:rPr>
          <w:highlight w:val="yellow"/>
        </w:rPr>
        <w:t xml:space="preserve">[ISMS manager]</w:t>
      </w:r>
      <w:r>
        <w:t xml:space="preserve"> if they are not resolved within </w:t>
      </w:r>
      <w:r>
        <w:rPr>
          <w:highlight w:val="yellow"/>
        </w:rPr>
        <w:t xml:space="preserve">[30]</w:t>
      </w:r>
      <w:r>
        <w:t xml:space="preserve"> days.</w:t>
      </w:r>
    </w:p>
    <w:p>
      <w:pPr>
        <w:pStyle w:val="ListParagraph"/>
        <w:numPr>
          <w:ilvl w:val="0"/>
          <w:numId w:val="2"/>
        </w:numPr>
        <w:spacing w:after="90"/>
      </w:pPr>
      <w:r>
        <w:t xml:space="preserve">Supplier access to our systems is checked in the access reviews set out in the </w:t>
      </w:r>
      <w:r>
        <w:rPr>
          <w:highlight w:val="yellow"/>
        </w:rPr>
        <w:t xml:space="preserve">[Access Control Policy]</w:t>
      </w:r>
      <w:r>
        <w:t xml:space="preserve">.</w:t>
      </w:r>
    </w:p>
    <w:p>
      <w:pPr>
        <w:pStyle w:val="Heading2"/>
      </w:pPr>
      <w:r>
        <w:t xml:space="preserve">9. Ending a supplier relationship</w:t>
      </w:r>
    </w:p>
    <w:p>
      <w:pPr>
        <w:keepNext/>
        <w:spacing w:after="100" w:before="0"/>
      </w:pPr>
      <w:r>
        <w:rPr>
          <w:i/>
          <w:iCs/>
          <w:color w:val="5B6770"/>
          <w:sz w:val="18"/>
          <w:szCs w:val="18"/>
        </w:rPr>
        <w:t xml:space="preserve">Supports Annex A 5.19 Information security in supplier relationships; 5.20 Addressing information security within supplier agreements</w:t>
      </w:r>
    </w:p>
    <w:p>
      <w:pPr>
        <w:pStyle w:val="ListParagraph"/>
        <w:numPr>
          <w:ilvl w:val="0"/>
          <w:numId w:val="2"/>
        </w:numPr>
        <w:spacing w:after="90"/>
      </w:pPr>
      <w:r>
        <w:t xml:space="preserve">When a contract ends or a supplier is replaced, the supplier owner removes the supplier's accounts and access, changes any shared credentials it knew, recovers our information and assets, and gets written confirmation that our information has been securely deleted, unless the law requires the supplier to keep it.</w:t>
      </w:r>
    </w:p>
    <w:p>
      <w:pPr>
        <w:pStyle w:val="ListParagraph"/>
        <w:numPr>
          <w:ilvl w:val="0"/>
          <w:numId w:val="2"/>
        </w:numPr>
        <w:spacing w:after="90"/>
      </w:pPr>
      <w:r>
        <w:t xml:space="preserve">Critical services are moved in a planned way, so that information security is maintained during the handover.</w:t>
      </w:r>
    </w:p>
    <w:p>
      <w:pPr>
        <w:pStyle w:val="ListParagraph"/>
        <w:numPr>
          <w:ilvl w:val="0"/>
          <w:numId w:val="2"/>
        </w:numPr>
        <w:spacing w:after="90"/>
      </w:pPr>
      <w:r>
        <w:t xml:space="preserve">The supplier register is updated. Confidentiality obligations continue as the contract states.</w:t>
      </w:r>
    </w:p>
    <w:p>
      <w:pPr>
        <w:pStyle w:val="Heading2"/>
      </w:pPr>
      <w:r>
        <w:t xml:space="preserve">10. Roles and responsibilities</w:t>
      </w:r>
    </w:p>
    <w:p>
      <w:pPr>
        <w:pStyle w:val="ListParagraph"/>
        <w:numPr>
          <w:ilvl w:val="0"/>
          <w:numId w:val="2"/>
        </w:numPr>
        <w:spacing w:after="90"/>
      </w:pPr>
      <w:r>
        <w:rPr>
          <w:highlight w:val="yellow"/>
        </w:rPr>
        <w:t xml:space="preserve">[Top management]</w:t>
      </w:r>
      <w:r>
        <w:t xml:space="preserve"> approves this policy.</w:t>
      </w:r>
    </w:p>
    <w:p>
      <w:pPr>
        <w:pStyle w:val="ListParagraph"/>
        <w:numPr>
          <w:ilvl w:val="0"/>
          <w:numId w:val="2"/>
        </w:numPr>
        <w:spacing w:after="90"/>
      </w:pPr>
      <w:r>
        <w:rPr>
          <w:highlight w:val="yellow"/>
        </w:rPr>
        <w:t xml:space="preserve">[ISMS manager]</w:t>
      </w:r>
      <w:r>
        <w:t xml:space="preserve"> owns this policy, keeps the supplier register and tier criteria up to date, and approves critical and high tier suppliers.</w:t>
      </w:r>
    </w:p>
    <w:p>
      <w:pPr>
        <w:pStyle w:val="ListParagraph"/>
        <w:numPr>
          <w:ilvl w:val="0"/>
          <w:numId w:val="2"/>
        </w:numPr>
        <w:spacing w:after="90"/>
      </w:pPr>
      <w:r>
        <w:t xml:space="preserve">Supplier owners select, contract, manage, review and exit their suppliers in line with this policy.</w:t>
      </w:r>
    </w:p>
    <w:p>
      <w:pPr>
        <w:pStyle w:val="ListParagraph"/>
        <w:numPr>
          <w:ilvl w:val="0"/>
          <w:numId w:val="2"/>
        </w:numPr>
        <w:spacing w:after="90"/>
      </w:pPr>
      <w:r>
        <w:rPr>
          <w:highlight w:val="yellow"/>
        </w:rPr>
        <w:t xml:space="preserve">[Finance or procurement]</w:t>
      </w:r>
      <w:r>
        <w:t xml:space="preserve"> makes sure no in-scope supplier is set up or paid without the checks in this policy.</w:t>
      </w:r>
    </w:p>
    <w:p>
      <w:pPr>
        <w:pStyle w:val="ListParagraph"/>
        <w:numPr>
          <w:ilvl w:val="0"/>
          <w:numId w:val="2"/>
        </w:numPr>
        <w:spacing w:after="90"/>
      </w:pPr>
      <w:r>
        <w:rPr>
          <w:highlight w:val="yellow"/>
        </w:rPr>
        <w:t xml:space="preserve">[Data protection lead]</w:t>
      </w:r>
      <w:r>
        <w:t xml:space="preserve"> checks processor terms and international transfers for suppliers that handle personal data.</w:t>
      </w:r>
    </w:p>
    <w:p>
      <w:pPr>
        <w:pStyle w:val="ListParagraph"/>
        <w:numPr>
          <w:ilvl w:val="0"/>
          <w:numId w:val="2"/>
        </w:numPr>
        <w:spacing w:after="90"/>
      </w:pPr>
      <w:r>
        <w:rPr>
          <w:highlight w:val="yellow"/>
        </w:rPr>
        <w:t xml:space="preserve">[IT manager]</w:t>
      </w:r>
      <w:r>
        <w:t xml:space="preserve"> approves cloud services and manages supplier access to our systems.</w:t>
      </w:r>
    </w:p>
    <w:p>
      <w:pPr>
        <w:pStyle w:val="ListParagraph"/>
        <w:numPr>
          <w:ilvl w:val="0"/>
          <w:numId w:val="2"/>
        </w:numPr>
        <w:spacing w:after="90"/>
      </w:pPr>
      <w:r>
        <w:t xml:space="preserve">Everyone asks </w:t>
      </w:r>
      <w:r>
        <w:rPr>
          <w:highlight w:val="yellow"/>
        </w:rPr>
        <w:t xml:space="preserve">[IT]</w:t>
      </w:r>
      <w:r>
        <w:t xml:space="preserve"> before signing up to a new service or sharing information with a new supplier.</w:t>
      </w:r>
    </w:p>
    <w:p>
      <w:pPr>
        <w:pStyle w:val="Heading2"/>
      </w:pPr>
      <w:r>
        <w:t xml:space="preserve">11. Exceptions</w:t>
      </w:r>
    </w:p>
    <w:p>
      <w:pPr>
        <w:pStyle w:val="ListParagraph"/>
        <w:numPr>
          <w:ilvl w:val="0"/>
          <w:numId w:val="2"/>
        </w:numPr>
        <w:spacing w:after="90"/>
      </w:pPr>
      <w:r>
        <w:t xml:space="preserve">Exceptions are requested in writing to </w:t>
      </w:r>
      <w:r>
        <w:rPr>
          <w:highlight w:val="yellow"/>
        </w:rPr>
        <w:t xml:space="preserve">[ISMS manager]</w:t>
      </w:r>
      <w:r>
        <w:t xml:space="preserve">, risk assessed, approved by the relevant risk owner, time-limited and recorded, as set out in the </w:t>
      </w:r>
      <w:r>
        <w:rPr>
          <w:highlight w:val="yellow"/>
        </w:rPr>
        <w:t xml:space="preserve">[Information Security Policy]</w:t>
      </w:r>
      <w:r>
        <w:t xml:space="preserve">.</w:t>
      </w:r>
    </w:p>
    <w:p>
      <w:pPr>
        <w:pStyle w:val="Heading2"/>
      </w:pPr>
      <w:r>
        <w:t xml:space="preserve">12. Compliance</w:t>
      </w:r>
    </w:p>
    <w:p>
      <w:pPr>
        <w:pStyle w:val="ListParagraph"/>
        <w:numPr>
          <w:ilvl w:val="0"/>
          <w:numId w:val="2"/>
        </w:numPr>
        <w:spacing w:after="90"/>
      </w:pPr>
      <w:r>
        <w:t xml:space="preserve">Compliance is checked by comparing the supplier register with finance records, through supplier reviews and through internal audits. Contracting a supplier without the checks in this policy may lead to action under </w:t>
      </w:r>
      <w:r>
        <w:rPr>
          <w:highlight w:val="yellow"/>
        </w:rPr>
        <w:t xml:space="preserve">[disciplinary procedure]</w:t>
      </w:r>
      <w:r>
        <w:t xml:space="preserve">.</w:t>
      </w:r>
    </w:p>
    <w:p>
      <w:pPr>
        <w:pStyle w:val="Heading2"/>
      </w:pPr>
      <w:r>
        <w:t xml:space="preserve">13. Related documents</w:t>
      </w:r>
    </w:p>
    <w:p>
      <w:pPr>
        <w:pStyle w:val="ListParagraph"/>
        <w:numPr>
          <w:ilvl w:val="0"/>
          <w:numId w:val="2"/>
        </w:numPr>
        <w:spacing w:after="90"/>
      </w:pPr>
      <w:r>
        <w:rPr>
          <w:highlight w:val="yellow"/>
        </w:rPr>
        <w:t xml:space="preserve">[Information Security Policy]</w:t>
      </w:r>
      <w:r>
        <w:t xml:space="preserve">, </w:t>
      </w:r>
      <w:r>
        <w:rPr>
          <w:highlight w:val="yellow"/>
        </w:rPr>
        <w:t xml:space="preserve">[Access Control Policy]</w:t>
      </w:r>
      <w:r>
        <w:t xml:space="preserve">, </w:t>
      </w:r>
      <w:r>
        <w:rPr>
          <w:highlight w:val="yellow"/>
        </w:rPr>
        <w:t xml:space="preserve">[Acceptable Use Policy]</w:t>
      </w:r>
      <w:r>
        <w:t xml:space="preserve">, </w:t>
      </w:r>
      <w:r>
        <w:rPr>
          <w:highlight w:val="yellow"/>
        </w:rPr>
        <w:t xml:space="preserve">[Cryptography Policy]</w:t>
      </w:r>
      <w:r>
        <w:t xml:space="preserve">, </w:t>
      </w:r>
      <w:r>
        <w:rPr>
          <w:highlight w:val="yellow"/>
        </w:rPr>
        <w:t xml:space="preserve">[Data Protection Policy]</w:t>
      </w:r>
      <w:r>
        <w:t xml:space="preserve">, </w:t>
      </w:r>
      <w:r>
        <w:rPr>
          <w:highlight w:val="yellow"/>
        </w:rPr>
        <w:t xml:space="preserve">[Secure Development Policy]</w:t>
      </w:r>
      <w:r>
        <w:t xml:space="preserve"> and </w:t>
      </w:r>
      <w:r>
        <w:rPr>
          <w:highlight w:val="yellow"/>
        </w:rPr>
        <w:t xml:space="preserve">[Incident Response Plan]</w:t>
      </w:r>
      <w:r>
        <w:t xml:space="preserve">.</w:t>
      </w:r>
    </w:p>
    <w:p>
      <w:pPr>
        <w:pStyle w:val="ListParagraph"/>
        <w:numPr>
          <w:ilvl w:val="0"/>
          <w:numId w:val="2"/>
        </w:numPr>
        <w:spacing w:after="90"/>
      </w:pPr>
      <w:r>
        <w:t xml:space="preserve">Supplier register (Appendix C), supplier risk assessments, due diligence records (Appendix B) and signed agreements.</w:t>
      </w:r>
    </w:p>
    <w:p>
      <w:pPr>
        <w:pStyle w:val="Heading2"/>
      </w:pPr>
      <w:r>
        <w:t xml:space="preserve">14. Review and approval</w:t>
      </w:r>
    </w:p>
    <w:p>
      <w:pPr>
        <w:pStyle w:val="ListParagraph"/>
        <w:numPr>
          <w:ilvl w:val="0"/>
          <w:numId w:val="2"/>
        </w:numPr>
        <w:spacing w:after="90"/>
      </w:pPr>
      <w:r>
        <w:t xml:space="preserve">This policy is communicated to and acknowledged by everyone within its scope.</w:t>
      </w:r>
    </w:p>
    <w:p>
      <w:pPr>
        <w:pStyle w:val="ListParagraph"/>
        <w:numPr>
          <w:ilvl w:val="0"/>
          <w:numId w:val="2"/>
        </w:numPr>
        <w:spacing w:after="90"/>
      </w:pPr>
      <w:r>
        <w:t xml:space="preserve">Reviewed at least every </w:t>
      </w:r>
      <w:r>
        <w:rPr>
          <w:highlight w:val="yellow"/>
        </w:rPr>
        <w:t xml:space="preserve">[12]</w:t>
      </w:r>
      <w:r>
        <w:t xml:space="preserve"> months and after significant change. Approved by </w:t>
      </w:r>
      <w:r>
        <w:rPr>
          <w:highlight w:val="yellow"/>
        </w:rPr>
        <w:t xml:space="preserve">[name, role]</w:t>
      </w:r>
      <w:r>
        <w:t xml:space="preserve"> on </w:t>
      </w:r>
      <w:r>
        <w:rPr>
          <w:highlight w:val="yellow"/>
        </w:rPr>
        <w:t xml:space="preserve">[date]</w:t>
      </w:r>
      <w:r>
        <w:t xml:space="preserve">. Version </w:t>
      </w:r>
      <w:r>
        <w:rPr>
          <w:highlight w:val="yellow"/>
        </w:rPr>
        <w:t xml:space="preserve">[x]</w:t>
      </w:r>
      <w:r>
        <w:t xml:space="preserve">.</w:t>
      </w:r>
    </w:p>
    <w:p>
      <w:pPr>
        <w:pStyle w:val="Heading1"/>
        <w:pageBreakBefore/>
      </w:pPr>
      <w:r>
        <w:t xml:space="preserve">Part B: Which Annex A controls does this policy support?</w:t>
      </w:r>
    </w:p>
    <w:p>
      <w:pPr>
        <w:keepNext/>
        <w:spacing w:after="140" w:before="0"/>
      </w:pPr>
      <w:r>
        <w:t xml:space="preserve">This policy is written to meet these Annex A controls. Use the table when you complete your Statement of Applicability, so each control points to the rules that implement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addresses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5.19</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Information security in supplier relationships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3. Supplier register and tiers</w:t>
            </w:r>
          </w:p>
          <w:p>
            <w:pPr>
              <w:spacing w:after="60" w:before="0"/>
            </w:pPr>
            <w:r>
              <w:rPr>
                <w:b w:val="false"/>
                <w:bCs w:val="false"/>
                <w:sz w:val="20"/>
                <w:szCs w:val="20"/>
              </w:rPr>
              <w:t xml:space="preserve">4. Selecting and approving suppliers</w:t>
            </w:r>
          </w:p>
          <w:p>
            <w:pPr>
              <w:spacing w:after="60" w:before="0"/>
            </w:pPr>
            <w:r>
              <w:rPr>
                <w:b w:val="false"/>
                <w:bCs w:val="false"/>
                <w:sz w:val="20"/>
                <w:szCs w:val="20"/>
              </w:rPr>
              <w:t xml:space="preserve">9. Ending a supplier relationship</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5.20</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Addressing information security within supplier agreements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5. Security in supplier agreements</w:t>
            </w:r>
          </w:p>
          <w:p>
            <w:pPr>
              <w:spacing w:after="60" w:before="0"/>
            </w:pPr>
            <w:r>
              <w:rPr>
                <w:b w:val="false"/>
                <w:bCs w:val="false"/>
                <w:sz w:val="20"/>
                <w:szCs w:val="20"/>
              </w:rPr>
              <w:t xml:space="preserve">9. Ending a supplier relationship</w:t>
            </w:r>
          </w:p>
          <w:p>
            <w:pPr>
              <w:spacing w:after="60" w:before="0"/>
            </w:pPr>
            <w:r>
              <w:rPr>
                <w:b w:val="false"/>
                <w:bCs w:val="false"/>
                <w:sz w:val="20"/>
                <w:szCs w:val="20"/>
              </w:rPr>
              <w:t xml:space="preserve">Appendix A</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5.21</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Managing information security in the ICT supply chain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4. Selecting and approving suppliers</w:t>
            </w:r>
          </w:p>
          <w:p>
            <w:pPr>
              <w:spacing w:after="60" w:before="0"/>
            </w:pPr>
            <w:r>
              <w:rPr>
                <w:b w:val="false"/>
                <w:bCs w:val="false"/>
                <w:sz w:val="20"/>
                <w:szCs w:val="20"/>
              </w:rPr>
              <w:t xml:space="preserve">6. ICT products and the supply chain</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5.22</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Monitoring, review and change management of supplier services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 Monitoring and review</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5.23</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Information security for use of cloud services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7. Cloud services</w:t>
            </w:r>
          </w:p>
        </w:tc>
      </w:tr>
    </w:tbl>
    <w:p>
      <w:pPr>
        <w:pStyle w:val="Heading2"/>
      </w:pPr>
      <w:r>
        <w:t xml:space="preserve">Related controls</w:t>
      </w:r>
    </w:p>
    <w:p>
      <w:pPr>
        <w:keepNext/>
        <w:spacing w:after="140" w:before="0"/>
      </w:pPr>
      <w:r>
        <w:t xml:space="preserve">These controls are mainly met elsewhere, but this policy contains rules that support them. Cross-reference them in your Statement of Applicability where it helps.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supports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5.14</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Information transfer</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 Security in supplier agreements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5.18</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Access rights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5. Security in supplier agreements</w:t>
            </w:r>
          </w:p>
          <w:p>
            <w:pPr>
              <w:spacing w:after="60" w:before="0"/>
            </w:pPr>
            <w:r>
              <w:rPr>
                <w:b w:val="false"/>
                <w:bCs w:val="false"/>
                <w:sz w:val="20"/>
                <w:szCs w:val="20"/>
              </w:rPr>
              <w:t xml:space="preserve">8. Monitoring and review</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5.24</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Information security incident management planning and preparation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 Monitoring and review</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5.31</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Legal, statutory, regulatory and contractual requirements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4. Selecting and approving suppliers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5.34</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Privacy and protection of PII</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4. Selecting and approving suppliers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6.6</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Confidentiality or non-disclosure agreements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4. Selecting and approving suppliers</w:t>
            </w:r>
          </w:p>
          <w:p>
            <w:pPr>
              <w:spacing w:after="60" w:before="0"/>
            </w:pPr>
            <w:r>
              <w:rPr>
                <w:b w:val="false"/>
                <w:bCs w:val="false"/>
                <w:sz w:val="20"/>
                <w:szCs w:val="20"/>
              </w:rPr>
              <w:t xml:space="preserve">9. Ending a supplier relationship</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8.30</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Outsourced development</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 ICT products and the supply chain</w:t>
            </w:r>
          </w:p>
        </w:tc>
      </w:tr>
    </w:tbl>
    <w:p>
      <w:pPr>
        <w:spacing w:after="80" w:before="0"/>
      </w:pPr>
    </w:p>
    <w:p>
      <w:pPr>
        <w:spacing w:after="140" w:before="0"/>
      </w:pPr>
      <w:r>
        <w:t xml:space="preserve">Control numbers follow ISO/IEC 27001:2022. If your documents still use 2013 references such as A.9, A.10 or A.15, update them: the transition period for the 2013 edition ended on 31 October 2025.</w:t>
      </w:r>
    </w:p>
    <w:p>
      <w:pPr>
        <w:pStyle w:val="Heading1"/>
        <w:pageBreakBefore/>
      </w:pPr>
      <w:r>
        <w:t xml:space="preserve">Part C: Evidence auditors ask for, and checks before you approve</w:t>
      </w:r>
    </w:p>
    <w:p>
      <w:pPr>
        <w:keepNext/>
        <w:spacing w:after="140" w:before="0"/>
      </w:pPr>
      <w:r>
        <w:t xml:space="preserve">A policy is only as strong as the records that show it is followed. These are the records a certification auditor is likely to sample for this policy: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938"/>
      </w:tblGrid>
      <w:tr>
        <w:trPr>
          <w:cantSplit/>
          <w:tblHeader/>
        </w:trPr>
        <w:tc>
          <w:tcPr>
            <w:tcW w:type="dxa" w:w="2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 area</w:t>
            </w:r>
          </w:p>
        </w:tc>
        <w:tc>
          <w:tcPr>
            <w:tcW w:type="dxa" w:w="69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Records that show the rules are followed</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Supplier register</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register with tiers, owners and review dates, consistent with the suppliers in your finance and company card records</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Selection</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Risk assessments, due diligence answers and approvals for a sample of recent suppliers</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Agreements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Signed contracts or reviewed standard terms with security clauses, and data processing terms for suppliers handling personal data</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Monitoring</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Review records, current certificates or assurance reports, and records of supplier incidents and changes</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Cloud services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Records of who manages which controls, configuration evidence for your side of the service, and exit plans</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Exit</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Access removal and deletion confirmations for suppliers you have stopped using</w:t>
            </w:r>
          </w:p>
        </w:tc>
      </w:tr>
    </w:tbl>
    <w:p>
      <w:pPr>
        <w:pStyle w:val="Heading2"/>
      </w:pPr>
      <w:r>
        <w:t xml:space="preserve">Checks before you approve</w:t>
      </w:r>
    </w:p>
    <w:p>
      <w:pPr>
        <w:keepNext/>
        <w:spacing w:after="140" w:before="0"/>
      </w:pPr>
      <w:r>
        <w:t xml:space="preserve">Templates fail in predictable ways. Before you approve this policy, check for these:</w:t>
      </w:r>
    </w:p>
    <w:p>
      <w:pPr>
        <w:pStyle w:val="ListParagraph"/>
        <w:numPr>
          <w:ilvl w:val="0"/>
          <w:numId w:val="2"/>
        </w:numPr>
        <w:spacing w:after="90"/>
      </w:pPr>
      <w:r>
        <w:rPr>
          <w:b/>
          <w:bCs/>
        </w:rPr>
        <w:t xml:space="preserve">A register that does not match reality.</w:t>
      </w:r>
      <w:r>
        <w:t xml:space="preserve"> Suppliers paid by finance or on company cards, especially cloud tools, that are missing from the register.</w:t>
      </w:r>
    </w:p>
    <w:p>
      <w:pPr>
        <w:pStyle w:val="ListParagraph"/>
        <w:numPr>
          <w:ilvl w:val="0"/>
          <w:numId w:val="2"/>
        </w:numPr>
        <w:spacing w:after="90"/>
      </w:pPr>
      <w:r>
        <w:rPr>
          <w:b/>
          <w:bCs/>
        </w:rPr>
        <w:t xml:space="preserve">Certificates that do not cover the service.</w:t>
      </w:r>
      <w:r>
        <w:t xml:space="preserve"> An ISO/IEC 27001 certificate whose scope excludes the service you buy, or one that has expired.</w:t>
      </w:r>
    </w:p>
    <w:p>
      <w:pPr>
        <w:pStyle w:val="ListParagraph"/>
        <w:numPr>
          <w:ilvl w:val="0"/>
          <w:numId w:val="2"/>
        </w:numPr>
        <w:spacing w:after="90"/>
      </w:pPr>
      <w:r>
        <w:rPr>
          <w:b/>
          <w:bCs/>
        </w:rPr>
        <w:t xml:space="preserve">No record of checking click-through terms.</w:t>
      </w:r>
      <w:r>
        <w:t xml:space="preserve"> For cloud services you cannot negotiate, record that you checked the standard terms and what you did about any gaps.</w:t>
      </w:r>
    </w:p>
    <w:p>
      <w:pPr>
        <w:pStyle w:val="ListParagraph"/>
        <w:numPr>
          <w:ilvl w:val="0"/>
          <w:numId w:val="2"/>
        </w:numPr>
        <w:spacing w:after="90"/>
      </w:pPr>
      <w:r>
        <w:rPr>
          <w:b/>
          <w:bCs/>
        </w:rPr>
        <w:t xml:space="preserve">Reviews that never happen.</w:t>
      </w:r>
      <w:r>
        <w:t xml:space="preserve"> A policy that promises annual reviews needs annual review records.</w:t>
      </w:r>
    </w:p>
    <w:p>
      <w:pPr>
        <w:pStyle w:val="ListParagraph"/>
        <w:numPr>
          <w:ilvl w:val="0"/>
          <w:numId w:val="2"/>
        </w:numPr>
        <w:spacing w:after="90"/>
      </w:pPr>
      <w:r>
        <w:rPr>
          <w:b/>
          <w:bCs/>
        </w:rPr>
        <w:t xml:space="preserve">Old numbering.</w:t>
      </w:r>
      <w:r>
        <w:t xml:space="preserve"> References to A.15 come from the 2013 edition; supplier relationships are now 5.19 to 5.22, with cloud services in control 5.23, which was new in 2022.</w:t>
      </w:r>
    </w:p>
    <w:p>
      <w:pPr>
        <w:spacing w:after="140" w:before="120"/>
      </w:pPr>
      <w:r>
        <w:t xml:space="preserve">Annex A control 5.1 requires topic-specific policies to be approved by management, published, communicated to and acknowledged by relevant people, and reviewed at planned intervals and after significant change. Record each step.</w:t>
      </w:r>
    </w:p>
    <w:p>
      <w:pPr>
        <w:pStyle w:val="Heading1"/>
        <w:pageBreakBefore/>
      </w:pPr>
      <w:r>
        <w:t xml:space="preserve">Appendix A: Supplier agreement security checklist</w:t>
      </w:r>
    </w:p>
    <w:p>
      <w:pPr>
        <w:keepNext/>
        <w:spacing w:after="140" w:before="0"/>
      </w:pPr>
      <w:r>
        <w:t xml:space="preserve">Use this checklist when you write or review a contract with a critical or high tier supplier. Where you cannot change the terms, record the gap and how you treat it. This checklist is not legal advice; take legal advice on contract wording.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5338"/>
        <w:gridCol w:w="1000"/>
        <w:gridCol w:w="1000"/>
      </w:tblGrid>
      <w:tr>
        <w:trPr>
          <w:cantSplit/>
          <w:tblHeader/>
        </w:trPr>
        <w:tc>
          <w:tcPr>
            <w:tcW w:type="dxa" w:w="2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Term</w:t>
            </w:r>
          </w:p>
        </w:tc>
        <w:tc>
          <w:tcPr>
            <w:tcW w:type="dxa" w:w="53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to include</w:t>
            </w:r>
          </w:p>
        </w:tc>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Critical</w:t>
            </w:r>
          </w:p>
        </w:tc>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High</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Information and access</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information, systems and locations involved, and how the information is classified</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Security controls</w:t>
            </w:r>
          </w:p>
        </w:tc>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The minimum controls the supplier maintains, such as access control, MFA, encryption, patching, malware protection, backup and logging, or a recognised standard such as ISO/IEC 27001 or Cyber Essentials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Confidentiality</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Confidentiality obligations for the supplier and its personnel, continuing after the contract ends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Supplier personnel</w:t>
            </w:r>
          </w:p>
        </w:tc>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Screening, training and confidentiality for supplier personnel with access, and a list of who has access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If relevant</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Personal data</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Processor terms required by UK GDPR Article 28, and transfer safeguards if personal data leaves the UK</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If personal data</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If personal data</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Incident notification</w:t>
            </w:r>
          </w:p>
        </w:tc>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Telling us about incidents affecting our information or service within </w:t>
            </w:r>
            <w:r>
              <w:rPr>
                <w:b w:val="false"/>
                <w:bCs w:val="false"/>
                <w:sz w:val="20"/>
                <w:szCs w:val="20"/>
                <w:highlight w:val="yellow"/>
              </w:rPr>
              <w:t xml:space="preserve">[24 hours]</w:t>
            </w:r>
            <w:r>
              <w:rPr>
                <w:b w:val="false"/>
                <w:bCs w:val="false"/>
                <w:sz w:val="20"/>
                <w:szCs w:val="20"/>
              </w:rPr>
              <w:t xml:space="preserve">, and cooperating with the investigation</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Assurance and audit</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Independent certificates or reports each year, and a right to audit or to send a questionnaire</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If relevant</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Subcontractors</w:t>
            </w:r>
          </w:p>
        </w:tc>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Notice or approval before subcontractors handle our information, with equivalent security requirements passed down</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Data location</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Where our information is stored and processed, and notice before that changes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If relevant</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Changes</w:t>
            </w:r>
          </w:p>
        </w:tc>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Notice of changes to the service that affect security</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If relevant</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Continuity and backup</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Backup, recovery times and continuity arrangements for the service</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If relevant</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Vulnerabilities</w:t>
            </w:r>
          </w:p>
        </w:tc>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Fixing security vulnerabilities in the products and services supplied within agreed timescales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If relevant</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Exit</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Return of our information in a usable format, secure deletion with written confirmation, and support during handover</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Remedies</w:t>
            </w:r>
          </w:p>
        </w:tc>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What happens if security obligations are not met, including termination rights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If relevant</w:t>
            </w:r>
          </w:p>
        </w:tc>
      </w:tr>
      <w:tr>
        <w:trPr>
          <w:cantSplit/>
        </w:trPr>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Contacts</w:t>
            </w:r>
          </w:p>
        </w:tc>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Named security contacts on both sides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w:t>
            </w:r>
          </w:p>
        </w:tc>
      </w:tr>
    </w:tbl>
    <w:p>
      <w:pPr>
        <w:pStyle w:val="Heading1"/>
        <w:pageBreakBefore/>
      </w:pPr>
      <w:r>
        <w:t xml:space="preserve">Appendix B: Supplier due diligence questions</w:t>
      </w:r>
    </w:p>
    <w:p>
      <w:pPr>
        <w:keepNext/>
        <w:spacing w:after="140" w:before="0"/>
      </w:pPr>
      <w:r>
        <w:t xml:space="preserve">Send these questions to critical and high tier suppliers before you sign, and keep the answers and evidence with the supplier record. Ask only what the tier needs, and accept a certificate or assurance report in place of answers where it covers the question.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4638"/>
        <w:gridCol w:w="3100"/>
      </w:tblGrid>
      <w:tr>
        <w:trPr>
          <w:cantSplit/>
          <w:tblHeader/>
        </w:trPr>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Topic</w:t>
            </w:r>
          </w:p>
        </w:tc>
        <w:tc>
          <w:tcPr>
            <w:tcW w:type="dxa" w:w="46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Question</w:t>
            </w:r>
          </w:p>
        </w:tc>
        <w:tc>
          <w:tcPr>
            <w:tcW w:type="dxa" w:w="3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Evidence to ask for</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Certification</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Do you hold ISO/IEC 27001 certification, a SOC 2 Type 2 report or Cyber Essentials Plus covering the service you will provide?</w:t>
            </w:r>
          </w:p>
        </w:tc>
        <w:tc>
          <w:tcPr>
            <w:tcW w:type="dxa" w:w="3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Certificate with scope and expiry date, or the report</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Personal data</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Where will our personal data be stored and processed, and which subprocessors do you use?</w:t>
            </w:r>
          </w:p>
        </w:tc>
        <w:tc>
          <w:tcPr>
            <w:tcW w:type="dxa" w:w="3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Data processing terms and subprocessor list</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Access control</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Do your staff and administrators use MFA, and how quickly is access removed when staff leave?</w:t>
            </w:r>
          </w:p>
        </w:tc>
        <w:tc>
          <w:tcPr>
            <w:tcW w:type="dxa" w:w="3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Policy extract or assurance report</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Encryption</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Is our data encrypted in transit and at rest, and who manages the keys?</w:t>
            </w:r>
          </w:p>
        </w:tc>
        <w:tc>
          <w:tcPr>
            <w:tcW w:type="dxa" w:w="3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Technical or security documentation</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Vulnerability management</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How often do you apply security updates and test for vulnerabilities, including independent penetration testing?</w:t>
            </w:r>
          </w:p>
        </w:tc>
        <w:tc>
          <w:tcPr>
            <w:tcW w:type="dxa" w:w="3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Summary of the latest penetration test</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Incidents</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How and how quickly will you tell us about an incident affecting our data or service?</w:t>
            </w:r>
          </w:p>
        </w:tc>
        <w:tc>
          <w:tcPr>
            <w:tcW w:type="dxa" w:w="3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Contract clause or incident process</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Continuity</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How is the service backed up, and how quickly can it be restored?</w:t>
            </w:r>
          </w:p>
        </w:tc>
        <w:tc>
          <w:tcPr>
            <w:tcW w:type="dxa" w:w="3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Continuity summary and recovery objectives</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Subcontractors</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Which subcontractors support the service, and how do you manage their security?</w:t>
            </w:r>
          </w:p>
        </w:tc>
        <w:tc>
          <w:tcPr>
            <w:tcW w:type="dxa" w:w="3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Subcontractor list and controls</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Exit</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How do we get our data back at the end of the contract, and how is it deleted?</w:t>
            </w:r>
          </w:p>
        </w:tc>
        <w:tc>
          <w:tcPr>
            <w:tcW w:type="dxa" w:w="3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Exit terms and deletion process</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Card payments</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If you store, process or transmit card data for us, can you provide your current PCI DSS Attestation of Compliance?</w:t>
            </w:r>
          </w:p>
        </w:tc>
        <w:tc>
          <w:tcPr>
            <w:tcW w:type="dxa" w:w="3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Attestation of Compliance (AOC)</w:t>
            </w:r>
          </w:p>
        </w:tc>
      </w:tr>
    </w:tbl>
    <w:p>
      <w:pPr>
        <w:sectPr>
          <w:footerReference w:type="default" r:id="rId6"/>
          <w:pgSz w:w="11906" w:h="16838" w:orient="portrait"/>
          <w:pgMar w:top="1134" w:right="1134" w:bottom="1134" w:left="1134" w:header="708" w:footer="560" w:gutter="0"/>
          <w:pgNumType/>
          <w:docGrid w:linePitch="360"/>
        </w:sectPr>
      </w:pPr>
    </w:p>
    <w:p>
      <w:pPr>
        <w:pStyle w:val="Heading1"/>
      </w:pPr>
      <w:r>
        <w:t xml:space="preserve">Appendix C: Supplier register</w:t>
      </w:r>
    </w:p>
    <w:p>
      <w:pPr>
        <w:keepNext/>
        <w:spacing w:after="140" w:before="0"/>
      </w:pPr>
      <w:r>
        <w:t xml:space="preserve">List every in-scope supplier. Check the register against your finance and company card records at least every </w:t>
      </w:r>
      <w:r>
        <w:rPr>
          <w:highlight w:val="yellow"/>
        </w:rPr>
        <w:t xml:space="preserve">[12]</w:t>
      </w:r>
      <w:r>
        <w:t xml:space="preserve"> months, so no supplier is missed.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700"/>
        <w:gridCol w:w="2100"/>
        <w:gridCol w:w="900"/>
        <w:gridCol w:w="1300"/>
        <w:gridCol w:w="1600"/>
        <w:gridCol w:w="1900"/>
        <w:gridCol w:w="1370"/>
        <w:gridCol w:w="1000"/>
        <w:gridCol w:w="1000"/>
      </w:tblGrid>
      <w:tr>
        <w:trPr>
          <w:cantSplit/>
          <w:tblHeader/>
        </w:trPr>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Supplier</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Service</w:t>
            </w:r>
          </w:p>
        </w:tc>
        <w:tc>
          <w:tcPr>
            <w:tcW w:type="dxa" w:w="2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Information and access</w:t>
            </w:r>
          </w:p>
        </w:tc>
        <w:tc>
          <w:tcPr>
            <w:tcW w:type="dxa" w:w="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Tier</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Contract and end date</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Assurance held and expiry</w:t>
            </w:r>
          </w:p>
        </w:tc>
        <w:tc>
          <w:tcPr>
            <w:tcW w:type="dxa" w:w="13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Personal data? Article 28 terms?</w:t>
            </w:r>
          </w:p>
        </w:tc>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Last review</w:t>
            </w:r>
          </w:p>
        </w:tc>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[IT support company]</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[Managed IT support]</w:t>
            </w: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[Administrator access to Microsoft 365 and laptops]</w:t>
            </w: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[Critical]</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[IT manager]</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[Ref 123, 31/03/2028]</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[ISO 27001, expires 06/2027]</w:t>
            </w:r>
          </w:p>
        </w:tc>
        <w:tc>
          <w:tcPr>
            <w:tcW w:type="dxa" w:w="13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[Yes, Article 28 terms signed]</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sectPr>
      <w:footerReference w:type="default" r:id="rId7"/>
      <w:type w:val="nextPage"/>
      <w:pgSz w:w="16838" w:h="11906" w:orient="landscape"/>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Supplier security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Supplier security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E02840"/>
      </w:rPr>
    </w:lvl>
  </w:abstractNum>
  <w:abstractNum w:abstractNumId="3" w15:restartNumberingAfterBreak="0">
    <w:multiLevelType w:val="hybridMultilevel"/>
    <w:lvl w:ilvl="0" w:tentative="1">
      <w:start w:val="1"/>
      <w:numFmt w:val="decimal"/>
      <w:lvlText w:val="%1."/>
      <w:lvlJc w:val="left"/>
      <w:pPr>
        <w:ind w:left="400" w:hanging="320"/>
      </w:pPr>
      <w:rPr>
        <w:b/>
        <w:bCs/>
        <w:color w:val="10283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1"/>
        <w:szCs w:val="21"/>
        <w:lang w:val="en-GB"/>
      </w:rPr>
    </w:rPrDefault>
    <w:pPrDefault>
      <w:pPr>
        <w:spacing w:after="1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Calibri" w:cs="Calibri" w:eastAsia="Calibri" w:hAnsi="Calibri"/>
      <w:b/>
      <w:bCs/>
      <w:color w:val="102838"/>
      <w:sz w:val="32"/>
      <w:szCs w:val="32"/>
    </w:rPr>
  </w:style>
  <w:style w:type="paragraph" w:styleId="Heading2">
    <w:name w:val="Heading 2"/>
    <w:basedOn w:val="Normal"/>
    <w:next w:val="Normal"/>
    <w:qFormat/>
    <w:pPr>
      <w:keepNext/>
      <w:keepLines/>
      <w:spacing w:after="100" w:before="260"/>
      <w:outlineLvl w:val="1"/>
    </w:pPr>
    <w:rPr>
      <w:rFonts w:ascii="Calibri" w:cs="Calibri" w:eastAsia="Calibri" w:hAnsi="Calibri"/>
      <w:b/>
      <w:bCs/>
      <w:color w:val="102838"/>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pba9y8th7adsomi6zbsfk" Type="http://schemas.openxmlformats.org/officeDocument/2006/relationships/hyperlink" Target="https://sovereignsecure.co.uk/" TargetMode="External"/><Relationship Id="rIdfsu2y1v6lt00xduj8wghn" Type="http://schemas.openxmlformats.org/officeDocument/2006/relationships/hyperlink" Target="https://sovereignsecure.co.uk/iso-27001-policy-templates/" TargetMode="External"/><Relationship Id="rIdumvwougyt3g-h9cxaheie" Type="http://schemas.openxmlformats.org/officeDocument/2006/relationships/hyperlink" Target="https://www.iso.org/standard/27001" TargetMode="External"/><Relationship Id="rIddiayottkzymx_rwejsg2r" Type="http://schemas.openxmlformats.org/officeDocument/2006/relationships/hyperlink" Target="https://sovereignsecure.co.uk/iso-27001-policy-templates/" TargetMode="External"/><Relationship Id="rIdp1cpnr8vutwr9hwrypkjl" Type="http://schemas.openxmlformats.org/officeDocument/2006/relationships/hyperlink" Target="https://ico.org.uk/for-organisations/uk-gdpr-guidance-and-resources/security/a-guide-to-data-security/" TargetMode="External"/><Relationship Id="rId14" Type="http://schemas.openxmlformats.org/officeDocument/2006/relationships/image" Target="media/728fc2a3bf8c8af21db16c83d499e1c1a95b6c0f.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Security Policy Template</dc:title>
  <dc:subject>ISO/IEC 27001:2022 supplier security policy template (Annex A 5.19 to 5.23)</dc:subject>
  <dc:creator>Sovereign Secure Ltd</dc:creator>
  <cp:keywords>ISO 27001, supplier security policy, third party security, Annex A 5.19, supplier agreements, ICT supply chain, cloud services, template</cp:keywords>
  <dc:description>Free supplier security policy template from sovereignsecure.co.uk, version October 2026.</dc:description>
  <cp:lastModifiedBy>Sovereign Secure Ltd</cp:lastModifiedBy>
  <cp:revision>1</cp:revision>
  <dcterms:created xsi:type="dcterms:W3CDTF">2026-10-13T12:54:13.806Z</dcterms:created>
  <dcterms:modified xsi:type="dcterms:W3CDTF">2026-10-13T12:54:13.807Z</dcterms:modified>
</cp:coreProperties>
</file>

<file path=docProps/custom.xml><?xml version="1.0" encoding="utf-8"?>
<Properties xmlns="http://schemas.openxmlformats.org/officeDocument/2006/custom-properties" xmlns:vt="http://schemas.openxmlformats.org/officeDocument/2006/docPropsVTypes"/>
</file>