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before="0"/>
      </w:pPr>
      <w:r>
        <w:drawing>
          <wp:inline distT="0" distB="0" distL="0" distR="0">
            <wp:extent cx="2095500" cy="552450"/>
            <wp:effectExtent t="0" r="0" b="0" l="0"/>
            <wp:docPr id="1" name="Sovereign Secure logo" descr="Sovereign Secure logo" title="Sovereign Sec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095500" cy="552450"/>
                    </a:xfrm>
                    <a:prstGeom prst="rect">
                      <a:avLst/>
                    </a:prstGeom>
                  </pic:spPr>
                </pic:pic>
              </a:graphicData>
            </a:graphic>
          </wp:inline>
        </w:drawing>
      </w:r>
    </w:p>
    <w:p>
      <w:pPr>
        <w:spacing w:after="80"/>
      </w:pPr>
      <w:r>
        <w:rPr>
          <w:b/>
          <w:bCs/>
          <w:color w:val="E02840"/>
          <w:spacing w:val="20"/>
          <w:sz w:val="20"/>
          <w:szCs w:val="20"/>
        </w:rPr>
        <w:t xml:space="preserve">FREE ISO 27001 TOOLKIT</w:t>
      </w:r>
    </w:p>
    <w:p>
      <w:pPr>
        <w:spacing w:after="120"/>
      </w:pPr>
      <w:r>
        <w:rPr>
          <w:b/>
          <w:bCs/>
          <w:color w:val="102838"/>
          <w:sz w:val="52"/>
          <w:szCs w:val="52"/>
        </w:rPr>
        <w:t xml:space="preserve">Information Security Policy Template</w:t>
      </w:r>
    </w:p>
    <w:p>
      <w:pPr>
        <w:spacing w:after="120"/>
      </w:pPr>
      <w:r>
        <w:rPr>
          <w:color w:val="5B6770"/>
          <w:sz w:val="24"/>
          <w:szCs w:val="24"/>
        </w:rPr>
        <w:t xml:space="preserve">Information security policy (clause 5.2), topic-specific policy outline (Annex A control 5.1) and policy topics mapped to ISO/IEC 27001:2022 Annex A</w:t>
      </w:r>
    </w:p>
    <w:p>
      <w:pPr>
        <w:pBdr>
          <w:bottom w:val="single" w:color="E02840" w:sz="18" w:space="1"/>
        </w:pBdr>
        <w:spacing w:after="240" w:before="0"/>
      </w:pPr>
    </w:p>
    <w:p>
      <w:pPr>
        <w:spacing w:after="60"/>
      </w:pPr>
      <w:r>
        <w:rPr>
          <w:b/>
          <w:bCs/>
          <w:color w:val="E02840"/>
        </w:rPr>
        <w:t xml:space="preserve">Version  </w:t>
      </w:r>
      <w:r>
        <w:t xml:space="preserve">October 2026</w:t>
      </w:r>
    </w:p>
    <w:p>
      <w:pPr>
        <w:spacing w:after="60"/>
      </w:pPr>
      <w:r>
        <w:rPr>
          <w:b/>
          <w:bCs/>
          <w:color w:val="E02840"/>
        </w:rPr>
        <w:t xml:space="preserve">Published by  </w:t>
      </w:r>
      <w:r>
        <w:t xml:space="preserve">Sovereign Secure Ltd, </w:t>
      </w:r>
      <w:hyperlink w:history="1" r:id="rIdcbbnkasnu1exvs2cqg_t2">
        <w:r>
          <w:rPr>
            <w:rStyle w:val="Hyperlink"/>
          </w:rPr>
          <w:t xml:space="preserve">sovereignsecure.co.uk</w:t>
        </w:r>
      </w:hyperlink>
    </w:p>
    <w:p>
      <w:pPr>
        <w:spacing w:after="360"/>
      </w:pPr>
      <w:r>
        <w:rPr>
          <w:b/>
          <w:bCs/>
          <w:color w:val="E02840"/>
        </w:rPr>
        <w:t xml:space="preserve">Help  </w:t>
      </w:r>
      <w:r>
        <w:t xml:space="preserve">+44 161 523 5276  |  contactus@sovereignsecure.co.uk</w:t>
      </w:r>
    </w:p>
    <w:p>
      <w:pPr>
        <w:pStyle w:val="Heading1"/>
      </w:pPr>
      <w:r>
        <w:t xml:space="preserve">About this template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What it is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A free, editable template for the information security policy (the "ISMS policy") that clause 5.2 of ISO/IEC 27001:2022 requires top management to establish, with an outline for the topic-specific policies that Annex A control 5.1 expects and the 12 example policy topics from ISO/IEC 27002:2022 mapped to the Annex A controls they support. It accompanies our free ISO 27001 toolkit at </w:t>
            </w:r>
            <w:hyperlink w:history="1" r:id="rIdxb4zgy9qwqwa1j4isphrm">
              <w:r>
                <w:rPr>
                  <w:rStyle w:val="Hyperlink"/>
                  <w:sz w:val="20"/>
                  <w:szCs w:val="20"/>
                </w:rPr>
                <w:t xml:space="preserve">sovereignsecure.co.uk/iso-27001-policy-templates/</w:t>
              </w:r>
            </w:hyperlink>
            <w:r>
              <w:rPr>
                <w:sz w:val="20"/>
                <w:szCs w:val="20"/>
              </w:rPr>
              <w:t xml:space="preserve">.</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What is inside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sz w:val="20"/>
                <w:szCs w:val="20"/>
              </w:rPr>
              <w:t xml:space="preserve">Part A: information security policy template, with document control</w:t>
            </w:r>
          </w:p>
          <w:p>
            <w:pPr>
              <w:spacing w:after="60" w:before="0"/>
            </w:pPr>
            <w:r>
              <w:rPr>
                <w:sz w:val="20"/>
                <w:szCs w:val="20"/>
              </w:rPr>
              <w:t xml:space="preserve">Part B: topic-specific policy template</w:t>
            </w:r>
          </w:p>
          <w:p>
            <w:pPr>
              <w:spacing w:after="60" w:before="0"/>
            </w:pPr>
            <w:r>
              <w:rPr>
                <w:sz w:val="20"/>
                <w:szCs w:val="20"/>
              </w:rPr>
              <w:t xml:space="preserve">Part C: which topic-specific policies you need, mapped to Annex A</w:t>
            </w:r>
          </w:p>
          <w:p>
            <w:pPr>
              <w:spacing w:after="60" w:before="0"/>
            </w:pPr>
            <w:r>
              <w:rPr>
                <w:sz w:val="20"/>
                <w:szCs w:val="20"/>
              </w:rPr>
              <w:t xml:space="preserve">Part D: checks before you approve</w:t>
            </w:r>
          </w:p>
          <w:p>
            <w:pPr>
              <w:spacing w:after="60" w:before="0"/>
            </w:pPr>
            <w:r>
              <w:rPr>
                <w:sz w:val="20"/>
                <w:szCs w:val="20"/>
              </w:rPr>
              <w:t xml:space="preserve">Part E: document register</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Version</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October 2026. Clause and control numbers refer to ISO/IEC 27001:2022 and ISO/IEC 27002:2022.</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The standard</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This template does not reproduce ISO/IEC 27001 or ISO/IEC 27002; clause and control numbers are given for reference only. The official text is available from ISO (</w:t>
            </w:r>
            <w:hyperlink w:history="1" r:id="rId_obzgs4kdorvqdzxkb0nx">
              <w:r>
                <w:rPr>
                  <w:rStyle w:val="Hyperlink"/>
                  <w:sz w:val="20"/>
                  <w:szCs w:val="20"/>
                </w:rPr>
                <w:t xml:space="preserve">iso.org/standard/27001</w:t>
              </w:r>
            </w:hyperlink>
            <w:r>
              <w:rPr>
                <w:sz w:val="20"/>
                <w:szCs w:val="20"/>
              </w:rPr>
              <w:t xml:space="preserve">) or a national standards body such as BSI.</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Licence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Free to use and adapt within your organisation.</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Not audit evidence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A template is a drafting aid, not evidence. Certification auditors test your documents against your scope, your risk assessment and your records, so templates alone will not get you certified.</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Getting help</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For help tailoring the full policy set, use the enquiry form on </w:t>
            </w:r>
            <w:hyperlink w:history="1" w:anchor="enquire" r:id="rIdrbjjthnlj7dtrdptu8kt9">
              <w:r>
                <w:rPr>
                  <w:rStyle w:val="Hyperlink"/>
                  <w:sz w:val="20"/>
                  <w:szCs w:val="20"/>
                </w:rPr>
                <w:t xml:space="preserve">our ISO 27001 policy templates page</w:t>
              </w:r>
            </w:hyperlink>
            <w:r>
              <w:rPr>
                <w:sz w:val="20"/>
                <w:szCs w:val="20"/>
              </w:rPr>
              <w:t xml:space="preserve">, which is already set to ISO 27001, or call +44 161 523 5276. Sovereign Secure Ltd is ISO 27001 certified and provides ISO 27001 consultancy; certification audits are carried out by our partner, the independent certification body MQA International.</w:t>
            </w:r>
          </w:p>
        </w:tc>
      </w:tr>
    </w:tbl>
    <w:p>
      <w:pPr>
        <w:pStyle w:val="Heading1"/>
        <w:pageBreakBefore/>
      </w:pPr>
      <w:r>
        <w:t xml:space="preserve">How to use this template</w:t>
      </w:r>
    </w:p>
    <w:p>
      <w:pPr>
        <w:pStyle w:val="ListParagraph"/>
        <w:numPr>
          <w:ilvl w:val="0"/>
          <w:numId w:val="2"/>
        </w:numPr>
        <w:spacing w:after="90"/>
      </w:pPr>
      <w:r>
        <w:t xml:space="preserve">Copy Part A into your own document, replace everything in </w:t>
      </w:r>
      <w:r>
        <w:rPr>
          <w:highlight w:val="yellow"/>
        </w:rPr>
        <w:t xml:space="preserve">[square brackets]</w:t>
      </w:r>
      <w:r>
        <w:t xml:space="preserve"> and remove anything that does not apply. Placeholders are highlighted so none are missed; remove the highlight once each is filled in.</w:t>
      </w:r>
    </w:p>
    <w:p>
      <w:pPr>
        <w:pStyle w:val="ListParagraph"/>
        <w:numPr>
          <w:ilvl w:val="0"/>
          <w:numId w:val="2"/>
        </w:numPr>
        <w:spacing w:after="90"/>
      </w:pPr>
      <w:r>
        <w:t xml:space="preserve">Keep the top-level policy to two or three pages; the detail goes in the topic-specific policies (Part B).</w:t>
      </w:r>
    </w:p>
    <w:p>
      <w:pPr>
        <w:pStyle w:val="ListParagraph"/>
        <w:numPr>
          <w:ilvl w:val="0"/>
          <w:numId w:val="2"/>
        </w:numPr>
        <w:spacing w:after="90"/>
      </w:pPr>
      <w:r>
        <w:t xml:space="preserve">Write topic-specific policies only for controls your Statement of Applicability includes (Part C). Smaller organisations often combine several topics in one document, as long as each is approved, communicated and reviewed.</w:t>
      </w:r>
    </w:p>
    <w:p>
      <w:pPr>
        <w:pStyle w:val="ListParagraph"/>
        <w:numPr>
          <w:ilvl w:val="0"/>
          <w:numId w:val="2"/>
        </w:numPr>
        <w:spacing w:after="90"/>
      </w:pPr>
      <w:r>
        <w:t xml:space="preserve">Delete the guidance notes, these instructions and the Sovereign Secure footer before you issue your policies.</w:t>
      </w:r>
    </w:p>
    <w:p>
      <w:pPr>
        <w:pStyle w:val="Heading2"/>
      </w:pPr>
      <w:r>
        <w:t xml:space="preserve">Tailoring steps</w:t>
      </w:r>
    </w:p>
    <w:p>
      <w:pPr>
        <w:pStyle w:val="ListParagraph"/>
        <w:numPr>
          <w:ilvl w:val="0"/>
          <w:numId w:val="3"/>
        </w:numPr>
        <w:spacing w:after="90"/>
      </w:pPr>
      <w:r>
        <w:rPr>
          <w:b/>
          <w:bCs/>
        </w:rPr>
        <w:t xml:space="preserve">Start from your risk assessment and SoA</w:t>
      </w:r>
      <w:r>
        <w:t xml:space="preserve">, not the template list. Keep the policies your controls need.</w:t>
      </w:r>
    </w:p>
    <w:p>
      <w:pPr>
        <w:pStyle w:val="ListParagraph"/>
        <w:numPr>
          <w:ilvl w:val="0"/>
          <w:numId w:val="3"/>
        </w:numPr>
        <w:spacing w:after="90"/>
      </w:pPr>
      <w:r>
        <w:rPr>
          <w:b/>
          <w:bCs/>
        </w:rPr>
        <w:t xml:space="preserve">Delete what does not apply</w:t>
      </w:r>
      <w:r>
        <w:t xml:space="preserve">, then write rules people can follow, with real roles, systems and timescales.</w:t>
      </w:r>
    </w:p>
    <w:p>
      <w:pPr>
        <w:pStyle w:val="ListParagraph"/>
        <w:numPr>
          <w:ilvl w:val="0"/>
          <w:numId w:val="3"/>
        </w:numPr>
        <w:spacing w:after="90"/>
      </w:pPr>
      <w:r>
        <w:rPr>
          <w:b/>
          <w:bCs/>
        </w:rPr>
        <w:t xml:space="preserve">Check each rule against reality.</w:t>
      </w:r>
      <w:r>
        <w:t xml:space="preserve"> If a rule is not yet true, fix the practice or change the rule before the audit.</w:t>
      </w:r>
    </w:p>
    <w:p>
      <w:pPr>
        <w:pStyle w:val="ListParagraph"/>
        <w:numPr>
          <w:ilvl w:val="0"/>
          <w:numId w:val="3"/>
        </w:numPr>
        <w:spacing w:after="90"/>
      </w:pPr>
      <w:r>
        <w:rPr>
          <w:b/>
          <w:bCs/>
        </w:rPr>
        <w:t xml:space="preserve">Approve</w:t>
      </w:r>
      <w:r>
        <w:t xml:space="preserve"> the information security policy at top management level and topic-specific policies at the right level of management.</w:t>
      </w:r>
    </w:p>
    <w:p>
      <w:pPr>
        <w:pStyle w:val="ListParagraph"/>
        <w:numPr>
          <w:ilvl w:val="0"/>
          <w:numId w:val="3"/>
        </w:numPr>
        <w:spacing w:after="90"/>
      </w:pPr>
      <w:r>
        <w:rPr>
          <w:b/>
          <w:bCs/>
        </w:rPr>
        <w:t xml:space="preserve">Communicate and record acknowledgement</w:t>
      </w:r>
      <w:r>
        <w:t xml:space="preserve">, for example through onboarding and annual training.</w:t>
      </w:r>
    </w:p>
    <w:p>
      <w:pPr>
        <w:pStyle w:val="ListParagraph"/>
        <w:numPr>
          <w:ilvl w:val="0"/>
          <w:numId w:val="3"/>
        </w:numPr>
        <w:spacing w:after="90"/>
      </w:pPr>
      <w:r>
        <w:rPr>
          <w:b/>
          <w:bCs/>
        </w:rPr>
        <w:t xml:space="preserve">Put everything under document control</w:t>
      </w:r>
      <w:r>
        <w:t xml:space="preserve"> with an owner, version and review date.</w:t>
      </w:r>
    </w:p>
    <w:p>
      <w:pPr>
        <w:pStyle w:val="ListParagraph"/>
        <w:numPr>
          <w:ilvl w:val="0"/>
          <w:numId w:val="3"/>
        </w:numPr>
        <w:spacing w:after="90"/>
      </w:pPr>
      <w:r>
        <w:rPr>
          <w:b/>
          <w:bCs/>
        </w:rPr>
        <w:t xml:space="preserve">Track the evidence</w:t>
      </w:r>
      <w:r>
        <w:t xml:space="preserve"> with our ISO 27001 checklist at </w:t>
      </w:r>
      <w:hyperlink w:history="1" r:id="rIdpklw02abwrzd7dyp2fyd0">
        <w:r>
          <w:rPr>
            <w:rStyle w:val="Hyperlink"/>
          </w:rPr>
          <w:t xml:space="preserve">sovereignsecure.co.uk/iso-27001-checklist/</w:t>
        </w:r>
      </w:hyperlink>
      <w:r>
        <w:t xml:space="preserve">.</w:t>
      </w:r>
    </w:p>
    <w:p>
      <w:pPr>
        <w:spacing w:after="140" w:before="120"/>
      </w:pPr>
      <w:r>
        <w:t xml:space="preserve">If personal data is in scope, your policies also help show the appropriate security that UK GDPR expects; the ICO's </w:t>
      </w:r>
      <w:hyperlink w:history="1" r:id="rIdooltlsdgvavfzzpqbdsi_">
        <w:r>
          <w:rPr>
            <w:rStyle w:val="Hyperlink"/>
          </w:rPr>
          <w:t xml:space="preserve">guide to data security</w:t>
        </w:r>
      </w:hyperlink>
      <w:r>
        <w:t xml:space="preserve"> explains what it looks for.</w:t>
      </w:r>
    </w:p>
    <w:p>
      <w:pPr>
        <w:pStyle w:val="Heading1"/>
        <w:pageBreakBefore/>
      </w:pPr>
      <w:r>
        <w:t xml:space="preserve">Part A: Information security policy template</w:t>
      </w:r>
    </w:p>
    <w:p>
      <w:pPr>
        <w:pBdr>
          <w:top w:val="single" w:color="F4F3EF" w:sz="4" w:space="4"/>
          <w:left w:val="single" w:color="E02840" w:sz="24" w:space="8"/>
          <w:bottom w:val="single" w:color="F4F3EF" w:sz="4" w:space="4"/>
        </w:pBdr>
        <w:shd w:fill="F4F3EF" w:color="auto" w:val="clear"/>
        <w:spacing w:after="220" w:before="120"/>
        <w:ind w:left="200" w:right="120"/>
      </w:pPr>
      <w:r>
        <w:rPr>
          <w:b/>
          <w:bCs/>
          <w:color w:val="E02840"/>
        </w:rPr>
        <w:t xml:space="preserve">Guidance: </w:t>
      </w:r>
      <w:r>
        <w:t xml:space="preserve">Copy this into your own document, replace everything in </w:t>
      </w:r>
      <w:r>
        <w:rPr>
          <w:highlight w:val="yellow"/>
        </w:rPr>
        <w:t xml:space="preserve">[square brackets]</w:t>
      </w:r>
      <w:r>
        <w:t xml:space="preserve"> and remove anything that does not apply.</w:t>
      </w:r>
    </w:p>
    <w:p>
      <w:pPr>
        <w:pBdr>
          <w:top w:val="single" w:color="F4F3EF" w:sz="4" w:space="4"/>
          <w:left w:val="single" w:color="E02840" w:sz="24" w:space="8"/>
          <w:bottom w:val="single" w:color="F4F3EF" w:sz="4" w:space="4"/>
        </w:pBdr>
        <w:shd w:fill="F4F3EF" w:color="auto" w:val="clear"/>
        <w:spacing w:after="220" w:before="120"/>
        <w:ind w:left="200" w:right="120"/>
      </w:pPr>
      <w:r>
        <w:rPr>
          <w:b/>
          <w:bCs/>
          <w:color w:val="E02840"/>
        </w:rPr>
        <w:t xml:space="preserve">Clause 5.2: </w:t>
      </w:r>
      <w:r>
        <w:t xml:space="preserve">Top management establishes this policy. It must suit the organisation's purpose, include information security objectives or a framework for setting them, commit to meeting applicable requirements and to continual improvement, and be documented, communicated within the organisation and available to interested parties as appropriate.</w:t>
      </w:r>
    </w:p>
    <w:p>
      <w:pPr>
        <w:keepNext/>
        <w:spacing w:after="200" w:before="120"/>
      </w:pPr>
      <w:r>
        <w:rPr>
          <w:b/>
          <w:bCs/>
          <w:color w:val="102838"/>
          <w:sz w:val="32"/>
          <w:szCs w:val="32"/>
          <w:highlight w:val="yellow"/>
        </w:rPr>
        <w:t xml:space="preserve">[Organisation name]</w:t>
      </w:r>
      <w:r>
        <w:rPr>
          <w:b/>
          <w:bCs/>
          <w:color w:val="102838"/>
          <w:sz w:val="32"/>
          <w:szCs w:val="32"/>
        </w:rPr>
        <w:t xml:space="preserve"> Information Security Policy</w:t>
      </w:r>
    </w:p>
    <w:p>
      <w:pPr>
        <w:pStyle w:val="Heading2"/>
      </w:pPr>
      <w: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1900"/>
        <w:gridCol w:w="1600"/>
        <w:gridCol w:w="1600"/>
        <w:gridCol w:w="1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Owner</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Approver</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Approval date</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Next review</w:t>
            </w:r>
          </w:p>
        </w:tc>
        <w:tc>
          <w:tcPr>
            <w:tcW w:type="dxa" w:w="1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Classification</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[x]</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[ISMS manager]</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[name, role]</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[Internal]</w:t>
            </w:r>
          </w:p>
        </w:tc>
      </w:tr>
    </w:tbl>
    <w:p>
      <w:pPr>
        <w:spacing w:after="160" w:before="0"/>
      </w:pPr>
    </w:p>
    <w:p>
      <w:pPr>
        <w:keepNext/>
        <w:spacing w:after="80" w:before="0"/>
      </w:pPr>
      <w:r>
        <w:rPr>
          <w:b/>
          <w:bCs/>
        </w:rPr>
        <w:t xml:space="preserve">Version history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600"/>
        <w:gridCol w:w="2200"/>
        <w:gridCol w:w="4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Date</w:t>
            </w:r>
          </w:p>
        </w:tc>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Author</w:t>
            </w:r>
          </w:p>
        </w:tc>
        <w:tc>
          <w:tcPr>
            <w:tcW w:type="dxa" w:w="4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Summary of changes</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[1.0]</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[name]</w:t>
            </w:r>
          </w:p>
        </w:tc>
        <w:tc>
          <w:tcPr>
            <w:tcW w:type="dxa" w:w="4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[First issue]</w:t>
            </w:r>
          </w:p>
        </w:tc>
      </w:tr>
      <w:tr>
        <w:trPr>
          <w:cantSplit/>
        </w:trPr>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47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4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p>
      <w:pPr>
        <w:pStyle w:val="Heading2"/>
      </w:pPr>
      <w:r>
        <w:t xml:space="preserve">1. Purpose</w:t>
      </w:r>
    </w:p>
    <w:p>
      <w:pPr>
        <w:pStyle w:val="ListParagraph"/>
        <w:numPr>
          <w:ilvl w:val="0"/>
          <w:numId w:val="2"/>
        </w:numPr>
        <w:spacing w:after="90"/>
      </w:pPr>
      <w:r>
        <w:t xml:space="preserve">This policy sets out how </w:t>
      </w:r>
      <w:r>
        <w:rPr>
          <w:highlight w:val="yellow"/>
        </w:rPr>
        <w:t xml:space="preserve">[Organisation name]</w:t>
      </w:r>
      <w:r>
        <w:t xml:space="preserve"> protects the confidentiality, integrity and availability of the information it holds, including information entrusted to it by customers, staff and partners.</w:t>
      </w:r>
    </w:p>
    <w:p>
      <w:pPr>
        <w:pStyle w:val="Heading2"/>
      </w:pPr>
      <w:r>
        <w:t xml:space="preserve">2. Scope</w:t>
      </w:r>
    </w:p>
    <w:p>
      <w:pPr>
        <w:pStyle w:val="ListParagraph"/>
        <w:numPr>
          <w:ilvl w:val="0"/>
          <w:numId w:val="2"/>
        </w:numPr>
        <w:spacing w:after="90"/>
      </w:pPr>
      <w:r>
        <w:t xml:space="preserve">It applies to all people, information, systems, locations and suppliers within the ISMS scope defined in </w:t>
      </w:r>
      <w:r>
        <w:rPr>
          <w:highlight w:val="yellow"/>
        </w:rPr>
        <w:t xml:space="preserve">[ISMS scope document, version]</w:t>
      </w:r>
      <w:r>
        <w:t xml:space="preserve">.</w:t>
      </w:r>
    </w:p>
    <w:p>
      <w:pPr>
        <w:pStyle w:val="Heading2"/>
      </w:pPr>
      <w:r>
        <w:t xml:space="preserve">3. Information security objectives</w:t>
      </w:r>
    </w:p>
    <w:p>
      <w:pPr>
        <w:pStyle w:val="ListParagraph"/>
        <w:numPr>
          <w:ilvl w:val="0"/>
          <w:numId w:val="2"/>
        </w:numPr>
        <w:spacing w:after="90"/>
      </w:pPr>
      <w:r>
        <w:rPr>
          <w:highlight w:val="yellow"/>
        </w:rPr>
        <w:t xml:space="preserve">[Top management]</w:t>
      </w:r>
      <w:r>
        <w:t xml:space="preserve"> sets measurable information security objectives each year, recorded in </w:t>
      </w:r>
      <w:r>
        <w:rPr>
          <w:highlight w:val="yellow"/>
        </w:rPr>
        <w:t xml:space="preserve">[objectives register]</w:t>
      </w:r>
      <w:r>
        <w:t xml:space="preserve">, with an owner, a deadline and a way of measuring progress.</w:t>
      </w:r>
    </w:p>
    <w:p>
      <w:pPr>
        <w:pStyle w:val="Heading2"/>
      </w:pPr>
      <w:r>
        <w:t xml:space="preserve">4. Principles</w:t>
      </w:r>
    </w:p>
    <w:p>
      <w:pPr>
        <w:pStyle w:val="ListParagraph"/>
        <w:numPr>
          <w:ilvl w:val="0"/>
          <w:numId w:val="2"/>
        </w:numPr>
        <w:spacing w:after="90"/>
      </w:pPr>
      <w:r>
        <w:t xml:space="preserve">Controls are chosen from our risk assessment and recorded in our Statement of Applicability.</w:t>
      </w:r>
    </w:p>
    <w:p>
      <w:pPr>
        <w:pStyle w:val="ListParagraph"/>
        <w:numPr>
          <w:ilvl w:val="0"/>
          <w:numId w:val="2"/>
        </w:numPr>
        <w:spacing w:after="90"/>
      </w:pPr>
      <w:r>
        <w:t xml:space="preserve">People get access only to the information their role needs.</w:t>
      </w:r>
    </w:p>
    <w:p>
      <w:pPr>
        <w:pStyle w:val="ListParagraph"/>
        <w:numPr>
          <w:ilvl w:val="0"/>
          <w:numId w:val="2"/>
        </w:numPr>
        <w:spacing w:after="90"/>
      </w:pPr>
      <w:r>
        <w:t xml:space="preserve">Security is considered before we adopt a new system, supplier or process.</w:t>
      </w:r>
    </w:p>
    <w:p>
      <w:pPr>
        <w:pStyle w:val="ListParagraph"/>
        <w:numPr>
          <w:ilvl w:val="0"/>
          <w:numId w:val="2"/>
        </w:numPr>
        <w:spacing w:after="90"/>
      </w:pPr>
      <w:r>
        <w:t xml:space="preserve">Anyone who suspects a security event reports it straight away, without blame.</w:t>
      </w:r>
    </w:p>
    <w:p>
      <w:pPr>
        <w:pStyle w:val="Heading2"/>
      </w:pPr>
      <w:r>
        <w:t xml:space="preserve">5. Commitments</w:t>
      </w:r>
    </w:p>
    <w:p>
      <w:pPr>
        <w:pStyle w:val="ListParagraph"/>
        <w:numPr>
          <w:ilvl w:val="0"/>
          <w:numId w:val="2"/>
        </w:numPr>
        <w:spacing w:after="90"/>
      </w:pPr>
      <w:r>
        <w:t xml:space="preserve">We will meet the legal, regulatory and contractual requirements that apply to us, including </w:t>
      </w:r>
      <w:r>
        <w:rPr>
          <w:highlight w:val="yellow"/>
        </w:rPr>
        <w:t xml:space="preserve">[UK GDPR, named customer contracts, PCI DSS]</w:t>
      </w:r>
      <w:r>
        <w:t xml:space="preserve">.</w:t>
      </w:r>
    </w:p>
    <w:p>
      <w:pPr>
        <w:pStyle w:val="ListParagraph"/>
        <w:numPr>
          <w:ilvl w:val="0"/>
          <w:numId w:val="2"/>
        </w:numPr>
        <w:spacing w:after="90"/>
      </w:pPr>
      <w:r>
        <w:t xml:space="preserve">We will continually improve the ISMS.</w:t>
      </w:r>
    </w:p>
    <w:p>
      <w:pPr>
        <w:pStyle w:val="Heading2"/>
      </w:pPr>
      <w:r>
        <w:t xml:space="preserve">6. Roles and responsibilities</w:t>
      </w:r>
    </w:p>
    <w:p>
      <w:pPr>
        <w:pStyle w:val="ListParagraph"/>
        <w:numPr>
          <w:ilvl w:val="0"/>
          <w:numId w:val="2"/>
        </w:numPr>
        <w:spacing w:after="90"/>
      </w:pPr>
      <w:r>
        <w:rPr>
          <w:highlight w:val="yellow"/>
        </w:rPr>
        <w:t xml:space="preserve">[Top management]</w:t>
      </w:r>
      <w:r>
        <w:t xml:space="preserve"> approves this policy, sets objectives and provides resources.</w:t>
      </w:r>
    </w:p>
    <w:p>
      <w:pPr>
        <w:pStyle w:val="ListParagraph"/>
        <w:numPr>
          <w:ilvl w:val="0"/>
          <w:numId w:val="2"/>
        </w:numPr>
        <w:spacing w:after="90"/>
      </w:pPr>
      <w:r>
        <w:rPr>
          <w:highlight w:val="yellow"/>
        </w:rPr>
        <w:t xml:space="preserve">[ISMS manager]</w:t>
      </w:r>
      <w:r>
        <w:t xml:space="preserve"> runs the ISMS and reports its performance to </w:t>
      </w:r>
      <w:r>
        <w:rPr>
          <w:highlight w:val="yellow"/>
        </w:rPr>
        <w:t xml:space="preserve">[top management]</w:t>
      </w:r>
      <w:r>
        <w:t xml:space="preserve">.</w:t>
      </w:r>
    </w:p>
    <w:p>
      <w:pPr>
        <w:pStyle w:val="ListParagraph"/>
        <w:numPr>
          <w:ilvl w:val="0"/>
          <w:numId w:val="2"/>
        </w:numPr>
        <w:spacing w:after="90"/>
      </w:pPr>
      <w:r>
        <w:t xml:space="preserve">Risk owners decide how their risks are treated and accept residual risk.</w:t>
      </w:r>
    </w:p>
    <w:p>
      <w:pPr>
        <w:pStyle w:val="ListParagraph"/>
        <w:numPr>
          <w:ilvl w:val="0"/>
          <w:numId w:val="2"/>
        </w:numPr>
        <w:spacing w:after="90"/>
      </w:pPr>
      <w:r>
        <w:t xml:space="preserve">Managers make sure their teams follow this policy.</w:t>
      </w:r>
    </w:p>
    <w:p>
      <w:pPr>
        <w:pStyle w:val="ListParagraph"/>
        <w:numPr>
          <w:ilvl w:val="0"/>
          <w:numId w:val="2"/>
        </w:numPr>
        <w:spacing w:after="90"/>
      </w:pPr>
      <w:r>
        <w:t xml:space="preserve">Everyone follows our policies, completes security training and reports security events.</w:t>
      </w:r>
    </w:p>
    <w:p>
      <w:pPr>
        <w:pStyle w:val="Heading2"/>
      </w:pPr>
      <w:r>
        <w:t xml:space="preserve">7. Topic-specific policies</w:t>
      </w:r>
    </w:p>
    <w:p>
      <w:pPr>
        <w:pStyle w:val="ListParagraph"/>
        <w:numPr>
          <w:ilvl w:val="0"/>
          <w:numId w:val="2"/>
        </w:numPr>
        <w:spacing w:after="90"/>
      </w:pPr>
      <w:r>
        <w:t xml:space="preserve">This policy is supported by the topic-specific policies listed in </w:t>
      </w:r>
      <w:r>
        <w:rPr>
          <w:highlight w:val="yellow"/>
        </w:rPr>
        <w:t xml:space="preserve">[document register]</w:t>
      </w:r>
      <w:r>
        <w:t xml:space="preserve">, approved by </w:t>
      </w:r>
      <w:r>
        <w:rPr>
          <w:highlight w:val="yellow"/>
        </w:rPr>
        <w:t xml:space="preserve">[role]</w:t>
      </w:r>
      <w:r>
        <w:t xml:space="preserve"> and consistent with this policy.</w:t>
      </w:r>
    </w:p>
    <w:p>
      <w:pPr>
        <w:pStyle w:val="Heading2"/>
      </w:pPr>
      <w:r>
        <w:t xml:space="preserve">8. Exceptions</w:t>
      </w:r>
    </w:p>
    <w:p>
      <w:pPr>
        <w:pStyle w:val="ListParagraph"/>
        <w:numPr>
          <w:ilvl w:val="0"/>
          <w:numId w:val="2"/>
        </w:numPr>
        <w:spacing w:after="90"/>
      </w:pPr>
      <w:r>
        <w:t xml:space="preserve">Exceptions are requested in writing to </w:t>
      </w:r>
      <w:r>
        <w:rPr>
          <w:highlight w:val="yellow"/>
        </w:rPr>
        <w:t xml:space="preserve">[ISMS manager]</w:t>
      </w:r>
      <w:r>
        <w:t xml:space="preserve">, risk assessed, approved by the relevant risk owner, time-limited and recorded.</w:t>
      </w:r>
    </w:p>
    <w:p>
      <w:pPr>
        <w:pStyle w:val="Heading2"/>
      </w:pPr>
      <w:r>
        <w:t xml:space="preserve">9. Compliance</w:t>
      </w:r>
    </w:p>
    <w:p>
      <w:pPr>
        <w:pStyle w:val="ListParagraph"/>
        <w:numPr>
          <w:ilvl w:val="0"/>
          <w:numId w:val="2"/>
        </w:numPr>
        <w:spacing w:after="90"/>
      </w:pPr>
      <w:r>
        <w:t xml:space="preserve">Compliance is checked through monitoring, internal audits and independent review. Breaches may lead to action under </w:t>
      </w:r>
      <w:r>
        <w:rPr>
          <w:highlight w:val="yellow"/>
        </w:rPr>
        <w:t xml:space="preserve">[disciplinary procedure]</w:t>
      </w:r>
      <w:r>
        <w:t xml:space="preserve">.</w:t>
      </w:r>
    </w:p>
    <w:p>
      <w:pPr>
        <w:pStyle w:val="Heading2"/>
      </w:pPr>
      <w:r>
        <w:t xml:space="preserve">10. Review and approval</w:t>
      </w:r>
    </w:p>
    <w:p>
      <w:pPr>
        <w:pStyle w:val="ListParagraph"/>
        <w:numPr>
          <w:ilvl w:val="0"/>
          <w:numId w:val="2"/>
        </w:numPr>
        <w:spacing w:after="90"/>
      </w:pPr>
      <w:r>
        <w:t xml:space="preserve">This policy is communicated to and acknowledged by everyone within the ISMS scope, and made available to </w:t>
      </w:r>
      <w:r>
        <w:rPr>
          <w:highlight w:val="yellow"/>
        </w:rPr>
        <w:t xml:space="preserve">[customers, regulators and other interested parties]</w:t>
      </w:r>
      <w:r>
        <w:t xml:space="preserve"> on request.</w:t>
      </w:r>
    </w:p>
    <w:p>
      <w:pPr>
        <w:pStyle w:val="ListParagraph"/>
        <w:numPr>
          <w:ilvl w:val="0"/>
          <w:numId w:val="2"/>
        </w:numPr>
        <w:spacing w:after="90"/>
      </w:pPr>
      <w:r>
        <w:t xml:space="preserve">Reviewed at least every </w:t>
      </w:r>
      <w:r>
        <w:rPr>
          <w:highlight w:val="yellow"/>
        </w:rPr>
        <w:t xml:space="preserve">[12]</w:t>
      </w:r>
      <w:r>
        <w:t xml:space="preserve"> months and after significant change. Approved by </w:t>
      </w:r>
      <w:r>
        <w:rPr>
          <w:highlight w:val="yellow"/>
        </w:rPr>
        <w:t xml:space="preserve">[name, role]</w:t>
      </w:r>
      <w:r>
        <w:t xml:space="preserve"> on </w:t>
      </w:r>
      <w:r>
        <w:rPr>
          <w:highlight w:val="yellow"/>
        </w:rPr>
        <w:t xml:space="preserve">[date]</w:t>
      </w:r>
      <w:r>
        <w:t xml:space="preserve">. Version </w:t>
      </w:r>
      <w:r>
        <w:rPr>
          <w:highlight w:val="yellow"/>
        </w:rPr>
        <w:t xml:space="preserve">[x]</w:t>
      </w:r>
      <w:r>
        <w:t xml:space="preserve">.</w:t>
      </w:r>
    </w:p>
    <w:p>
      <w:pPr>
        <w:pStyle w:val="Heading1"/>
        <w:pageBreakBefore/>
      </w:pPr>
      <w:r>
        <w:t xml:space="preserve">Part B: Topic-specific policy template</w:t>
      </w:r>
    </w:p>
    <w:p>
      <w:pPr>
        <w:keepNext/>
        <w:spacing w:after="140" w:before="0"/>
      </w:pPr>
      <w:r>
        <w:t xml:space="preserve">Use the same short structure for every topic-specific policy, so each one is easy to approve, communicate and review:</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938"/>
      </w:tblGrid>
      <w:tr>
        <w:trPr>
          <w:cantSplit/>
          <w:tblHeader/>
        </w:trPr>
        <w:tc>
          <w:tcPr>
            <w:tcW w:type="dxa" w:w="2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Section</w:t>
            </w:r>
          </w:p>
        </w:tc>
        <w:tc>
          <w:tcPr>
            <w:tcW w:type="dxa" w:w="69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What to write</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Purpose and scope</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The topic, the Annex A controls it supports and who it applies to</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Policy statements</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Specific rules people can follow, with real systems, roles and timescales</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Roles</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Who owns the policy, who carries out each rule and who checks it</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Exceptions</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How to request one and who approves it, consistent with the main policy</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Related documents</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Procedures, standards and records that show the rules are followed</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Approval and review</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Approver, date, version and next review date</w:t>
            </w:r>
          </w:p>
        </w:tc>
      </w:tr>
    </w:tbl>
    <w:p>
      <w:pPr>
        <w:spacing w:after="80" w:before="0"/>
      </w:pPr>
    </w:p>
    <w:p>
      <w:pPr>
        <w:pBdr>
          <w:top w:val="single" w:color="F4F3EF" w:sz="4" w:space="4"/>
          <w:left w:val="single" w:color="E02840" w:sz="24" w:space="8"/>
          <w:bottom w:val="single" w:color="F4F3EF" w:sz="4" w:space="4"/>
        </w:pBdr>
        <w:shd w:fill="F4F3EF" w:color="auto" w:val="clear"/>
        <w:spacing w:after="220" w:before="120"/>
        <w:ind w:left="200" w:right="120"/>
      </w:pPr>
      <w:r>
        <w:rPr>
          <w:b/>
          <w:bCs/>
          <w:color w:val="E02840"/>
        </w:rPr>
        <w:t xml:space="preserve">Annex A control 5.1: </w:t>
      </w:r>
      <w:r>
        <w:t xml:space="preserve">Topic-specific policies are approved by management, published, communicated to and acknowledged by relevant people, and reviewed at planned intervals and after significant change. Copy the outline below once for each topic.</w:t>
      </w:r>
    </w:p>
    <w:p>
      <w:pPr>
        <w:keepNext/>
        <w:spacing w:after="200" w:before="120"/>
      </w:pPr>
      <w:r>
        <w:rPr>
          <w:b/>
          <w:bCs/>
          <w:color w:val="102838"/>
          <w:sz w:val="32"/>
          <w:szCs w:val="32"/>
          <w:highlight w:val="yellow"/>
        </w:rPr>
        <w:t xml:space="preserve">[Organisation name]</w:t>
      </w:r>
      <w:r>
        <w:rPr>
          <w:b/>
          <w:bCs/>
          <w:color w:val="102838"/>
          <w:sz w:val="32"/>
          <w:szCs w:val="32"/>
        </w:rPr>
        <w:t xml:space="preserve"> </w:t>
      </w:r>
      <w:r>
        <w:rPr>
          <w:b/>
          <w:bCs/>
          <w:color w:val="102838"/>
          <w:sz w:val="32"/>
          <w:szCs w:val="32"/>
          <w:highlight w:val="yellow"/>
        </w:rPr>
        <w:t xml:space="preserve">[Topic]</w:t>
      </w:r>
      <w:r>
        <w:rPr>
          <w:b/>
          <w:bCs/>
          <w:color w:val="102838"/>
          <w:sz w:val="32"/>
          <w:szCs w:val="32"/>
        </w:rPr>
        <w:t xml:space="preserve"> Policy</w:t>
      </w:r>
    </w:p>
    <w:p>
      <w:pPr>
        <w:pStyle w:val="Heading2"/>
      </w:pPr>
      <w: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1900"/>
        <w:gridCol w:w="1600"/>
        <w:gridCol w:w="1600"/>
        <w:gridCol w:w="1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Owner</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Approver</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Approval date</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Next review</w:t>
            </w:r>
          </w:p>
        </w:tc>
        <w:tc>
          <w:tcPr>
            <w:tcW w:type="dxa" w:w="1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Classification</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[x]</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[policy owner]</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[name, role]</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[Internal]</w:t>
            </w:r>
          </w:p>
        </w:tc>
      </w:tr>
    </w:tbl>
    <w:p>
      <w:pPr>
        <w:pStyle w:val="Heading2"/>
      </w:pPr>
      <w:r>
        <w:t xml:space="preserve">1. Purpose and scope</w:t>
      </w:r>
    </w:p>
    <w:p>
      <w:pPr>
        <w:pStyle w:val="ListParagraph"/>
        <w:numPr>
          <w:ilvl w:val="0"/>
          <w:numId w:val="2"/>
        </w:numPr>
        <w:spacing w:after="90"/>
      </w:pPr>
      <w:r>
        <w:t xml:space="preserve">This policy covers </w:t>
      </w:r>
      <w:r>
        <w:rPr>
          <w:highlight w:val="yellow"/>
        </w:rPr>
        <w:t xml:space="preserve">[topic]</w:t>
      </w:r>
      <w:r>
        <w:t xml:space="preserve"> and supports Annex A controls </w:t>
      </w:r>
      <w:r>
        <w:rPr>
          <w:highlight w:val="yellow"/>
        </w:rPr>
        <w:t xml:space="preserve">[control numbers]</w:t>
      </w:r>
      <w:r>
        <w:t xml:space="preserve">.</w:t>
      </w:r>
    </w:p>
    <w:p>
      <w:pPr>
        <w:pStyle w:val="ListParagraph"/>
        <w:numPr>
          <w:ilvl w:val="0"/>
          <w:numId w:val="2"/>
        </w:numPr>
        <w:spacing w:after="90"/>
      </w:pPr>
      <w:r>
        <w:t xml:space="preserve">It applies to </w:t>
      </w:r>
      <w:r>
        <w:rPr>
          <w:highlight w:val="yellow"/>
        </w:rPr>
        <w:t xml:space="preserve">[people, systems, locations and suppliers it covers]</w:t>
      </w:r>
      <w:r>
        <w:t xml:space="preserve">.</w:t>
      </w:r>
    </w:p>
    <w:p>
      <w:pPr>
        <w:pStyle w:val="Heading2"/>
      </w:pPr>
      <w:r>
        <w:t xml:space="preserve">2. Policy statements</w:t>
      </w:r>
    </w:p>
    <w:p>
      <w:pPr>
        <w:pStyle w:val="ListParagraph"/>
        <w:numPr>
          <w:ilvl w:val="0"/>
          <w:numId w:val="2"/>
        </w:numPr>
        <w:spacing w:after="90"/>
      </w:pPr>
      <w:r>
        <w:rPr>
          <w:highlight w:val="yellow"/>
        </w:rPr>
        <w:t xml:space="preserve">[Rule 1: what must happen, on which system, by which role and by when.]</w:t>
      </w:r>
    </w:p>
    <w:p>
      <w:pPr>
        <w:pStyle w:val="ListParagraph"/>
        <w:numPr>
          <w:ilvl w:val="0"/>
          <w:numId w:val="2"/>
        </w:numPr>
        <w:spacing w:after="90"/>
      </w:pPr>
      <w:r>
        <w:rPr>
          <w:highlight w:val="yellow"/>
        </w:rPr>
        <w:t xml:space="preserve">[Rule 2]</w:t>
      </w:r>
    </w:p>
    <w:p>
      <w:pPr>
        <w:pStyle w:val="ListParagraph"/>
        <w:numPr>
          <w:ilvl w:val="0"/>
          <w:numId w:val="2"/>
        </w:numPr>
        <w:spacing w:after="90"/>
      </w:pPr>
      <w:r>
        <w:rPr>
          <w:highlight w:val="yellow"/>
        </w:rPr>
        <w:t xml:space="preserve">[Rule 3]</w:t>
      </w:r>
    </w:p>
    <w:p>
      <w:pPr>
        <w:pStyle w:val="Heading2"/>
      </w:pPr>
      <w:r>
        <w:t xml:space="preserve">3. Roles</w:t>
      </w:r>
    </w:p>
    <w:p>
      <w:pPr>
        <w:pStyle w:val="ListParagraph"/>
        <w:numPr>
          <w:ilvl w:val="0"/>
          <w:numId w:val="2"/>
        </w:numPr>
        <w:spacing w:after="90"/>
      </w:pPr>
      <w:r>
        <w:rPr>
          <w:highlight w:val="yellow"/>
        </w:rPr>
        <w:t xml:space="preserve">[Role]</w:t>
      </w:r>
      <w:r>
        <w:t xml:space="preserve"> owns this policy.</w:t>
      </w:r>
    </w:p>
    <w:p>
      <w:pPr>
        <w:pStyle w:val="ListParagraph"/>
        <w:numPr>
          <w:ilvl w:val="0"/>
          <w:numId w:val="2"/>
        </w:numPr>
        <w:spacing w:after="90"/>
      </w:pPr>
      <w:r>
        <w:rPr>
          <w:highlight w:val="yellow"/>
        </w:rPr>
        <w:t xml:space="preserve">[Role]</w:t>
      </w:r>
      <w:r>
        <w:t xml:space="preserve"> carries out </w:t>
      </w:r>
      <w:r>
        <w:rPr>
          <w:highlight w:val="yellow"/>
        </w:rPr>
        <w:t xml:space="preserve">[rule or activity]</w:t>
      </w:r>
      <w:r>
        <w:t xml:space="preserve">.</w:t>
      </w:r>
    </w:p>
    <w:p>
      <w:pPr>
        <w:pStyle w:val="ListParagraph"/>
        <w:numPr>
          <w:ilvl w:val="0"/>
          <w:numId w:val="2"/>
        </w:numPr>
        <w:spacing w:after="90"/>
      </w:pPr>
      <w:r>
        <w:rPr>
          <w:highlight w:val="yellow"/>
        </w:rPr>
        <w:t xml:space="preserve">[Role]</w:t>
      </w:r>
      <w:r>
        <w:t xml:space="preserve"> checks that the rules are followed, by </w:t>
      </w:r>
      <w:r>
        <w:rPr>
          <w:highlight w:val="yellow"/>
        </w:rPr>
        <w:t xml:space="preserve">[method and frequency]</w:t>
      </w:r>
      <w:r>
        <w:t xml:space="preserve">.</w:t>
      </w:r>
    </w:p>
    <w:p>
      <w:pPr>
        <w:pStyle w:val="Heading2"/>
      </w:pPr>
      <w:r>
        <w:t xml:space="preserve">4. Exceptions</w:t>
      </w:r>
    </w:p>
    <w:p>
      <w:pPr>
        <w:pStyle w:val="ListParagraph"/>
        <w:numPr>
          <w:ilvl w:val="0"/>
          <w:numId w:val="2"/>
        </w:numPr>
        <w:spacing w:after="90"/>
      </w:pPr>
      <w:r>
        <w:t xml:space="preserve">Exceptions are requested in writing to </w:t>
      </w:r>
      <w:r>
        <w:rPr>
          <w:highlight w:val="yellow"/>
        </w:rPr>
        <w:t xml:space="preserve">[role]</w:t>
      </w:r>
      <w:r>
        <w:t xml:space="preserve"> and approved by </w:t>
      </w:r>
      <w:r>
        <w:rPr>
          <w:highlight w:val="yellow"/>
        </w:rPr>
        <w:t xml:space="preserve">[role]</w:t>
      </w:r>
      <w:r>
        <w:t xml:space="preserve">, consistent with the information security policy.</w:t>
      </w:r>
    </w:p>
    <w:p>
      <w:pPr>
        <w:pStyle w:val="Heading2"/>
      </w:pPr>
      <w:r>
        <w:t xml:space="preserve">5. Related documents</w:t>
      </w:r>
    </w:p>
    <w:p>
      <w:pPr>
        <w:pStyle w:val="ListParagraph"/>
        <w:numPr>
          <w:ilvl w:val="0"/>
          <w:numId w:val="2"/>
        </w:numPr>
        <w:spacing w:after="90"/>
      </w:pPr>
      <w:r>
        <w:rPr>
          <w:highlight w:val="yellow"/>
        </w:rPr>
        <w:t xml:space="preserve">[Procedures, standards and records that show the rules are followed, with their references.]</w:t>
      </w:r>
    </w:p>
    <w:p>
      <w:pPr>
        <w:pStyle w:val="Heading2"/>
      </w:pPr>
      <w:r>
        <w:t xml:space="preserve">6. Approval and review</w:t>
      </w:r>
    </w:p>
    <w:p>
      <w:pPr>
        <w:pStyle w:val="ListParagraph"/>
        <w:numPr>
          <w:ilvl w:val="0"/>
          <w:numId w:val="2"/>
        </w:numPr>
        <w:spacing w:after="90"/>
      </w:pPr>
      <w:r>
        <w:t xml:space="preserve">Approved by </w:t>
      </w:r>
      <w:r>
        <w:rPr>
          <w:highlight w:val="yellow"/>
        </w:rPr>
        <w:t xml:space="preserve">[name, role]</w:t>
      </w:r>
      <w:r>
        <w:t xml:space="preserve"> on </w:t>
      </w:r>
      <w:r>
        <w:rPr>
          <w:highlight w:val="yellow"/>
        </w:rPr>
        <w:t xml:space="preserve">[date]</w:t>
      </w:r>
      <w:r>
        <w:t xml:space="preserve">. Version </w:t>
      </w:r>
      <w:r>
        <w:rPr>
          <w:highlight w:val="yellow"/>
        </w:rPr>
        <w:t xml:space="preserve">[x]</w:t>
      </w:r>
      <w:r>
        <w:t xml:space="preserve">.</w:t>
      </w:r>
    </w:p>
    <w:p>
      <w:pPr>
        <w:pStyle w:val="ListParagraph"/>
        <w:numPr>
          <w:ilvl w:val="0"/>
          <w:numId w:val="2"/>
        </w:numPr>
        <w:spacing w:after="90"/>
      </w:pPr>
      <w:r>
        <w:t xml:space="preserve">Communicated to </w:t>
      </w:r>
      <w:r>
        <w:rPr>
          <w:highlight w:val="yellow"/>
        </w:rPr>
        <w:t xml:space="preserve">[the people it applies to]</w:t>
      </w:r>
      <w:r>
        <w:t xml:space="preserve"> through </w:t>
      </w:r>
      <w:r>
        <w:rPr>
          <w:highlight w:val="yellow"/>
        </w:rPr>
        <w:t xml:space="preserve">[method]</w:t>
      </w:r>
      <w:r>
        <w:t xml:space="preserve">, with acknowledgement recorded in </w:t>
      </w:r>
      <w:r>
        <w:rPr>
          <w:highlight w:val="yellow"/>
        </w:rPr>
        <w:t xml:space="preserve">[location]</w:t>
      </w:r>
      <w:r>
        <w:t xml:space="preserve">.</w:t>
      </w:r>
    </w:p>
    <w:p>
      <w:pPr>
        <w:pStyle w:val="ListParagraph"/>
        <w:numPr>
          <w:ilvl w:val="0"/>
          <w:numId w:val="2"/>
        </w:numPr>
        <w:spacing w:after="90"/>
      </w:pPr>
      <w:r>
        <w:t xml:space="preserve">Reviewed at least every </w:t>
      </w:r>
      <w:r>
        <w:rPr>
          <w:highlight w:val="yellow"/>
        </w:rPr>
        <w:t xml:space="preserve">[12]</w:t>
      </w:r>
      <w:r>
        <w:t xml:space="preserve"> months and after significant change. Next review </w:t>
      </w:r>
      <w:r>
        <w:rPr>
          <w:highlight w:val="yellow"/>
        </w:rPr>
        <w:t xml:space="preserve">[date]</w:t>
      </w:r>
      <w:r>
        <w:t xml:space="preserve">.</w:t>
      </w:r>
    </w:p>
    <w:p>
      <w:pPr>
        <w:pStyle w:val="Heading1"/>
        <w:pageBreakBefore/>
      </w:pPr>
      <w:r>
        <w:t xml:space="preserve">Part C: Which topic-specific policies does ISO 27001 need?</w:t>
      </w:r>
    </w:p>
    <w:p>
      <w:pPr>
        <w:keepNext/>
        <w:spacing w:after="140" w:before="0"/>
      </w:pPr>
      <w:r>
        <w:t xml:space="preserve">There is no fixed list. Write a topic-specific policy where your risks and Statement of Applicability call for one. ISO/IEC 27002:2022 gives 12 example topics, mapped here to the Annex A controls they support: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4638"/>
        <w:gridCol w:w="2300"/>
      </w:tblGrid>
      <w:tr>
        <w:trPr>
          <w:cantSplit/>
          <w:tblHeader/>
        </w:trPr>
        <w:tc>
          <w:tcPr>
            <w:tcW w:type="dxa" w:w="2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Policy</w:t>
            </w:r>
          </w:p>
        </w:tc>
        <w:tc>
          <w:tcPr>
            <w:tcW w:type="dxa" w:w="46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What it should set out</w:t>
            </w:r>
          </w:p>
        </w:tc>
        <w:tc>
          <w:tcPr>
            <w:tcW w:type="dxa" w:w="2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Annex A controls</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Access control</w:t>
            </w:r>
          </w:p>
        </w:tc>
        <w:tc>
          <w:tcPr>
            <w:tcW w:type="dxa" w:w="4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Joiners, movers and leavers, least privilege, privileged access, authentication</w:t>
            </w:r>
          </w:p>
        </w:tc>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5.15 to 5.18, 8.2, 8.3, 8.5</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Physical and environmental security</w:t>
            </w:r>
          </w:p>
        </w:tc>
        <w:tc>
          <w:tcPr>
            <w:tcW w:type="dxa" w:w="4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Secure areas, visitors, equipment, clear desk</w:t>
            </w:r>
          </w:p>
        </w:tc>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7.1 to 7.14</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Asset management</w:t>
            </w:r>
          </w:p>
        </w:tc>
        <w:tc>
          <w:tcPr>
            <w:tcW w:type="dxa" w:w="4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Inventory, owners, acceptable use, return of assets</w:t>
            </w:r>
          </w:p>
        </w:tc>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5.9 to 5.11</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Information transfer</w:t>
            </w:r>
          </w:p>
        </w:tc>
        <w:tc>
          <w:tcPr>
            <w:tcW w:type="dxa" w:w="4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Email, file sharing, removable media, agreements with third parties</w:t>
            </w:r>
          </w:p>
        </w:tc>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5.14</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User endpoint devices</w:t>
            </w:r>
          </w:p>
        </w:tc>
        <w:tc>
          <w:tcPr>
            <w:tcW w:type="dxa" w:w="4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Secure configuration, encryption, personal devices, loss</w:t>
            </w:r>
          </w:p>
        </w:tc>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8.1, 8.9</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Networking security</w:t>
            </w:r>
          </w:p>
        </w:tc>
        <w:tc>
          <w:tcPr>
            <w:tcW w:type="dxa" w:w="4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Firewalls, network services, segregation</w:t>
            </w:r>
          </w:p>
        </w:tc>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8.20 to 8.22</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Incident management</w:t>
            </w:r>
          </w:p>
        </w:tc>
        <w:tc>
          <w:tcPr>
            <w:tcW w:type="dxa" w:w="4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Reporting, assessment, response, lessons learned, evidence</w:t>
            </w:r>
          </w:p>
        </w:tc>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5.24 to 5.28, 6.8</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Backup</w:t>
            </w:r>
          </w:p>
        </w:tc>
        <w:tc>
          <w:tcPr>
            <w:tcW w:type="dxa" w:w="4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What is backed up, how often, restore testing</w:t>
            </w:r>
          </w:p>
        </w:tc>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8.13</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Cryptography and key management</w:t>
            </w:r>
          </w:p>
        </w:tc>
        <w:tc>
          <w:tcPr>
            <w:tcW w:type="dxa" w:w="4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Approved uses of encryption, key lifecycle</w:t>
            </w:r>
          </w:p>
        </w:tc>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8.24</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Classification and handling</w:t>
            </w:r>
          </w:p>
        </w:tc>
        <w:tc>
          <w:tcPr>
            <w:tcW w:type="dxa" w:w="4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Classification levels, labelling, handling rules</w:t>
            </w:r>
          </w:p>
        </w:tc>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5.12, 5.13</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Technical vulnerability management</w:t>
            </w:r>
          </w:p>
        </w:tc>
        <w:tc>
          <w:tcPr>
            <w:tcW w:type="dxa" w:w="4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Scanning, patching timescales, testing</w:t>
            </w:r>
          </w:p>
        </w:tc>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8.8</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Secure development</w:t>
            </w:r>
          </w:p>
        </w:tc>
        <w:tc>
          <w:tcPr>
            <w:tcW w:type="dxa" w:w="4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Development life cycle, secure coding, security testing, outsourced development</w:t>
            </w:r>
          </w:p>
        </w:tc>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8.25 to 8.31</w:t>
            </w:r>
          </w:p>
        </w:tc>
      </w:tr>
    </w:tbl>
    <w:p>
      <w:pPr>
        <w:pStyle w:val="Heading2"/>
      </w:pPr>
      <w:r>
        <w:t xml:space="preserve">Other topics organisations often add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38"/>
        <w:gridCol w:w="4300"/>
      </w:tblGrid>
      <w:tr>
        <w:trPr>
          <w:cantSplit/>
          <w:tblHeader/>
        </w:trPr>
        <w:tc>
          <w:tcPr>
            <w:tcW w:type="dxa" w:w="53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Policy</w:t>
            </w:r>
          </w:p>
        </w:tc>
        <w:tc>
          <w:tcPr>
            <w:tcW w:type="dxa" w:w="4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Annex A controls</w:t>
            </w:r>
          </w:p>
        </w:tc>
      </w:tr>
      <w:tr>
        <w:trPr>
          <w:cantSplit/>
        </w:trPr>
        <w:tc>
          <w:tcPr>
            <w:tcW w:type="dxa" w:w="5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Acceptable use</w:t>
            </w:r>
          </w:p>
        </w:tc>
        <w:tc>
          <w:tcPr>
            <w:tcW w:type="dxa" w:w="4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5.10</w:t>
            </w:r>
          </w:p>
        </w:tc>
      </w:tr>
      <w:tr>
        <w:trPr>
          <w:cantSplit/>
        </w:trPr>
        <w:tc>
          <w:tcPr>
            <w:tcW w:type="dxa" w:w="53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Supplier and cloud security</w:t>
            </w:r>
          </w:p>
        </w:tc>
        <w:tc>
          <w:tcPr>
            <w:tcW w:type="dxa" w:w="4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5.19 to 5.23</w:t>
            </w:r>
          </w:p>
        </w:tc>
      </w:tr>
      <w:tr>
        <w:trPr>
          <w:cantSplit/>
        </w:trPr>
        <w:tc>
          <w:tcPr>
            <w:tcW w:type="dxa" w:w="5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Remote working</w:t>
            </w:r>
          </w:p>
        </w:tc>
        <w:tc>
          <w:tcPr>
            <w:tcW w:type="dxa" w:w="4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6.7</w:t>
            </w:r>
          </w:p>
        </w:tc>
      </w:tr>
      <w:tr>
        <w:trPr>
          <w:cantSplit/>
        </w:trPr>
        <w:tc>
          <w:tcPr>
            <w:tcW w:type="dxa" w:w="53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Business continuity</w:t>
            </w:r>
          </w:p>
        </w:tc>
        <w:tc>
          <w:tcPr>
            <w:tcW w:type="dxa" w:w="4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5.29, 5.30</w:t>
            </w:r>
          </w:p>
        </w:tc>
      </w:tr>
      <w:tr>
        <w:trPr>
          <w:cantSplit/>
        </w:trPr>
        <w:tc>
          <w:tcPr>
            <w:tcW w:type="dxa" w:w="5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Privacy and protection of personal data</w:t>
            </w:r>
          </w:p>
        </w:tc>
        <w:tc>
          <w:tcPr>
            <w:tcW w:type="dxa" w:w="4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5.34</w:t>
            </w:r>
          </w:p>
        </w:tc>
      </w:tr>
      <w:tr>
        <w:trPr>
          <w:cantSplit/>
        </w:trPr>
        <w:tc>
          <w:tcPr>
            <w:tcW w:type="dxa" w:w="53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Logging and monitoring</w:t>
            </w:r>
          </w:p>
        </w:tc>
        <w:tc>
          <w:tcPr>
            <w:tcW w:type="dxa" w:w="4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8.15, 8.16</w:t>
            </w:r>
          </w:p>
        </w:tc>
      </w:tr>
    </w:tbl>
    <w:p>
      <w:pPr>
        <w:spacing w:after="80" w:before="0"/>
      </w:pPr>
    </w:p>
    <w:p>
      <w:pPr>
        <w:spacing w:after="140" w:before="0"/>
      </w:pPr>
      <w:r>
        <w:t xml:space="preserve">Only write policies for controls your Statement of Applicability includes. For incidents, pair the policy with a working plan such as our incident response plan template at </w:t>
      </w:r>
      <w:hyperlink w:history="1" r:id="rIdp_xahej8hpu2q02eiqmlm">
        <w:r>
          <w:rPr>
            <w:rStyle w:val="Hyperlink"/>
          </w:rPr>
          <w:t xml:space="preserve">sovereignsecure.co.uk/incident-response-plan-template/</w:t>
        </w:r>
      </w:hyperlink>
      <w:r>
        <w:t xml:space="preserve">.</w:t>
      </w:r>
    </w:p>
    <w:p>
      <w:pPr>
        <w:spacing w:after="140" w:before="0"/>
      </w:pPr>
      <w:r>
        <w:t xml:space="preserve">Already hold Cyber Essentials? Our cyber security policy template at </w:t>
      </w:r>
      <w:hyperlink w:history="1" r:id="rId1tr-jv9epvmyqrxr5naev">
        <w:r>
          <w:rPr>
            <w:rStyle w:val="Hyperlink"/>
          </w:rPr>
          <w:t xml:space="preserve">sovereignsecure.co.uk/cyber-security-policy-template/</w:t>
        </w:r>
      </w:hyperlink>
      <w:r>
        <w:t xml:space="preserve"> sets rules for accounts, devices, updates, firewalls and malware protection that you can reuse in the access control, endpoint and vulnerability management policies.</w:t>
      </w:r>
    </w:p>
    <w:p>
      <w:pPr>
        <w:pStyle w:val="Heading1"/>
        <w:pageBreakBefore/>
      </w:pPr>
      <w:r>
        <w:t xml:space="preserve">Part D: Checks before you approve</w:t>
      </w:r>
    </w:p>
    <w:p>
      <w:pPr>
        <w:keepNext/>
        <w:spacing w:after="140" w:before="0"/>
      </w:pPr>
      <w:r>
        <w:t xml:space="preserve">Certification auditors test your documents against your scope, your risk assessment and your records. Templates fail in predictable ways:</w:t>
      </w:r>
    </w:p>
    <w:p>
      <w:pPr>
        <w:pStyle w:val="ListParagraph"/>
        <w:numPr>
          <w:ilvl w:val="0"/>
          <w:numId w:val="2"/>
        </w:numPr>
        <w:spacing w:after="90"/>
      </w:pPr>
      <w:r>
        <w:rPr>
          <w:b/>
          <w:bCs/>
        </w:rPr>
        <w:t xml:space="preserve">Promises you do not keep.</w:t>
      </w:r>
      <w:r>
        <w:t xml:space="preserve"> A template says access is reviewed quarterly; there are no review records, so the auditor raises a nonconformity.</w:t>
      </w:r>
    </w:p>
    <w:p>
      <w:pPr>
        <w:pStyle w:val="ListParagraph"/>
        <w:numPr>
          <w:ilvl w:val="0"/>
          <w:numId w:val="2"/>
        </w:numPr>
        <w:spacing w:after="90"/>
      </w:pPr>
      <w:r>
        <w:rPr>
          <w:b/>
          <w:bCs/>
        </w:rPr>
        <w:t xml:space="preserve">Out of step with the SoA.</w:t>
      </w:r>
      <w:r>
        <w:t xml:space="preserve"> Policies cover controls you excluded, or applicable controls have no rules behind them.</w:t>
      </w:r>
    </w:p>
    <w:p>
      <w:pPr>
        <w:pStyle w:val="ListParagraph"/>
        <w:numPr>
          <w:ilvl w:val="0"/>
          <w:numId w:val="2"/>
        </w:numPr>
        <w:spacing w:after="90"/>
      </w:pPr>
      <w:r>
        <w:rPr>
          <w:b/>
          <w:bCs/>
        </w:rPr>
        <w:t xml:space="preserve">Old numbering.</w:t>
      </w:r>
      <w:r>
        <w:t xml:space="preserve"> References such as A.9 or A.12 come from the 2013 edition, whose transition period ended on 31 October 2025, and show the document has not been reviewed.</w:t>
      </w:r>
    </w:p>
    <w:p>
      <w:pPr>
        <w:pStyle w:val="ListParagraph"/>
        <w:numPr>
          <w:ilvl w:val="0"/>
          <w:numId w:val="2"/>
        </w:numPr>
        <w:spacing w:after="90"/>
      </w:pPr>
      <w:r>
        <w:rPr>
          <w:b/>
          <w:bCs/>
        </w:rPr>
        <w:t xml:space="preserve">Roles you do not have.</w:t>
      </w:r>
      <w:r>
        <w:t xml:space="preserve"> "The CISO" appears in a 20-person company with no CISO.</w:t>
      </w:r>
    </w:p>
    <w:p>
      <w:pPr>
        <w:pStyle w:val="ListParagraph"/>
        <w:numPr>
          <w:ilvl w:val="0"/>
          <w:numId w:val="2"/>
        </w:numPr>
        <w:spacing w:after="90"/>
      </w:pPr>
      <w:r>
        <w:rPr>
          <w:b/>
          <w:bCs/>
        </w:rPr>
        <w:t xml:space="preserve">No approval or acknowledgement.</w:t>
      </w:r>
      <w:r>
        <w:t xml:space="preserve"> Control 5.1 requires policies to be approved and acknowledged by relevant people.</w:t>
      </w:r>
    </w:p>
    <w:p>
      <w:pPr>
        <w:pStyle w:val="ListParagraph"/>
        <w:numPr>
          <w:ilvl w:val="0"/>
          <w:numId w:val="2"/>
        </w:numPr>
        <w:spacing w:after="90"/>
      </w:pPr>
      <w:r>
        <w:rPr>
          <w:b/>
          <w:bCs/>
        </w:rPr>
        <w:t xml:space="preserve">Too many documents.</w:t>
      </w:r>
      <w:r>
        <w:t xml:space="preserve"> Every policy falls under document control (7.5), so 40 unused policies mean 40 documents to keep current.</w:t>
      </w:r>
    </w:p>
    <w:p>
      <w:pPr>
        <w:spacing w:after="140" w:before="120"/>
        <w:sectPr>
          <w:footerReference w:type="default" r:id="rId6"/>
          <w:pgSz w:w="11906" w:h="16838" w:orient="portrait"/>
          <w:pgMar w:top="1134" w:right="1134" w:bottom="1134" w:left="1134" w:header="708" w:footer="560" w:gutter="0"/>
          <w:pgNumType/>
          <w:docGrid w:linePitch="360"/>
        </w:sectPr>
      </w:pPr>
      <w:r>
        <w:t xml:space="preserve">Templates also give you no records. Risk assessment results, internal audits and management reviews have to come from running the ISMS.</w:t>
      </w:r>
    </w:p>
    <w:p>
      <w:pPr>
        <w:pStyle w:val="Heading1"/>
      </w:pPr>
      <w:r>
        <w:t xml:space="preserve">Part E: Document register</w:t>
      </w:r>
    </w:p>
    <w:p>
      <w:pPr>
        <w:keepNext/>
        <w:spacing w:after="140" w:before="0"/>
      </w:pPr>
      <w:r>
        <w:t xml:space="preserve">Section 7 of the information security policy refers to a document register. Use this one, or your own, to record each policy, whether your Statement of Applicability needs it, who owns and approves it, and when it is next reviewed. Every policy falls under document control (clause 7.5).</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1900"/>
        <w:gridCol w:w="1300"/>
        <w:gridCol w:w="1600"/>
        <w:gridCol w:w="1600"/>
        <w:gridCol w:w="1000"/>
        <w:gridCol w:w="1300"/>
        <w:gridCol w:w="1300"/>
        <w:gridCol w:w="1770"/>
      </w:tblGrid>
      <w:tr>
        <w:trPr>
          <w:cantSplit/>
          <w:tblHeader/>
        </w:trPr>
        <w:tc>
          <w:tcPr>
            <w:tcW w:type="dxa" w:w="2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Policy</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Annex A controls</w:t>
            </w:r>
          </w:p>
        </w:tc>
        <w:tc>
          <w:tcPr>
            <w:tcW w:type="dxa" w:w="1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Needed? (per SoA)</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Owner</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Approved by</w:t>
            </w:r>
          </w:p>
        </w:tc>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Approval date</w:t>
            </w:r>
          </w:p>
        </w:tc>
        <w:tc>
          <w:tcPr>
            <w:tcW w:type="dxa" w:w="1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Next review</w:t>
            </w:r>
          </w:p>
        </w:tc>
        <w:tc>
          <w:tcPr>
            <w:tcW w:type="dxa" w:w="177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Location</w:t>
            </w:r>
          </w:p>
        </w:tc>
      </w:tr>
      <w:tr>
        <w:trPr>
          <w:cantSplit/>
        </w:trPr>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Information security policy</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5.1 (and clause 5.2)</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Yes (required)</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Access control</w:t>
            </w: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5.15 to 5.18, 8.2, 8.3, 8.5</w:t>
            </w: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Physical and environmental security</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7.1 to 7.14</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Asset management</w:t>
            </w: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5.9 to 5.11</w:t>
            </w: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Information transfer</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5.14</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User endpoint devices</w:t>
            </w: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8.1, 8.9</w:t>
            </w: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Networking security</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8.20 to 8.22</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Incident management</w:t>
            </w: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5.24 to 5.28, 6.8</w:t>
            </w: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Backup</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8.13</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Cryptography and key management</w:t>
            </w: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8.24</w:t>
            </w: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Classification and handling</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5.12, 5.13</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Technical vulnerability management</w:t>
            </w: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8.8</w:t>
            </w: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Secure development</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8.25 to 8.31</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Acceptable use</w:t>
            </w: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5.10</w:t>
            </w: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Supplier and cloud security</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5.19 to 5.23</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Remote working</w:t>
            </w: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6.7</w:t>
            </w: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Business continuity</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5.29, 5.30</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Privacy and protection of personal data</w:t>
            </w: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5.34</w:t>
            </w: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Logging and monitoring</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8.15, 8.16</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highlight w:val="yellow"/>
              </w:rPr>
              <w:t xml:space="preserve">[Other policy]</w:t>
            </w: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[Other policy]</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sectPr>
      <w:footerReference w:type="default" r:id="rId7"/>
      <w:type w:val="nextPage"/>
      <w:pgSz w:w="16838" w:h="11906" w:orient="landscape"/>
      <w:pgMar w:top="1134" w:right="1134" w:bottom="1134" w:left="1134" w:header="708"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2840" w:sz="6" w:space="6"/>
      </w:pBdr>
      <w:spacing w:after="0" w:before="0"/>
    </w:pPr>
    <w:r>
      <w:rPr>
        <w:color w:val="5B6770"/>
        <w:sz w:val="16"/>
        <w:szCs w:val="16"/>
      </w:rPr>
      <w:t xml:space="preserve">Information security policy template  |  Sovereign Secure Ltd  |  sovereignsecure.co.uk</w:t>
    </w:r>
    <w:r>
      <w:ptab w:alignment="right" w:relativeTo="margin" w:leader="none"/>
    </w:r>
    <w:r>
      <w:rPr>
        <w:color w:val="5B67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2840" w:sz="6" w:space="6"/>
      </w:pBdr>
      <w:spacing w:after="0" w:before="0"/>
    </w:pPr>
    <w:r>
      <w:rPr>
        <w:color w:val="5B6770"/>
        <w:sz w:val="16"/>
        <w:szCs w:val="16"/>
      </w:rPr>
      <w:t xml:space="preserve">Information security policy template  |  Sovereign Secure Ltd  |  sovereignsecure.co.uk</w:t>
    </w:r>
    <w:r>
      <w:ptab w:alignment="right" w:relativeTo="margin" w:leader="none"/>
    </w:r>
    <w:r>
      <w:rPr>
        <w:color w:val="5B67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rPr>
        <w:color w:val="E02840"/>
      </w:rPr>
    </w:lvl>
  </w:abstractNum>
  <w:abstractNum w:abstractNumId="3" w15:restartNumberingAfterBreak="0">
    <w:multiLevelType w:val="hybridMultilevel"/>
    <w:lvl w:ilvl="0" w:tentative="1">
      <w:start w:val="1"/>
      <w:numFmt w:val="decimal"/>
      <w:lvlText w:val="%1."/>
      <w:lvlJc w:val="left"/>
      <w:pPr>
        <w:ind w:left="400" w:hanging="320"/>
      </w:pPr>
      <w:rPr>
        <w:b/>
        <w:bCs/>
        <w:color w:val="10283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A33"/>
        <w:sz w:val="21"/>
        <w:szCs w:val="21"/>
        <w:lang w:val="en-GB"/>
      </w:rPr>
    </w:rPrDefault>
    <w:pPrDefault>
      <w:pPr>
        <w:spacing w:after="140"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360"/>
      <w:outlineLvl w:val="0"/>
    </w:pPr>
    <w:rPr>
      <w:rFonts w:ascii="Calibri" w:cs="Calibri" w:eastAsia="Calibri" w:hAnsi="Calibri"/>
      <w:b/>
      <w:bCs/>
      <w:color w:val="102838"/>
      <w:sz w:val="32"/>
      <w:szCs w:val="32"/>
    </w:rPr>
  </w:style>
  <w:style w:type="paragraph" w:styleId="Heading2">
    <w:name w:val="Heading 2"/>
    <w:basedOn w:val="Normal"/>
    <w:next w:val="Normal"/>
    <w:qFormat/>
    <w:pPr>
      <w:keepNext/>
      <w:keepLines/>
      <w:spacing w:after="100" w:before="260"/>
      <w:outlineLvl w:val="1"/>
    </w:pPr>
    <w:rPr>
      <w:rFonts w:ascii="Calibri" w:cs="Calibri" w:eastAsia="Calibri" w:hAnsi="Calibri"/>
      <w:b/>
      <w:bCs/>
      <w:color w:val="102838"/>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cbbnkasnu1exvs2cqg_t2" Type="http://schemas.openxmlformats.org/officeDocument/2006/relationships/hyperlink" Target="https://sovereignsecure.co.uk/" TargetMode="External"/><Relationship Id="rIdxb4zgy9qwqwa1j4isphrm" Type="http://schemas.openxmlformats.org/officeDocument/2006/relationships/hyperlink" Target="https://sovereignsecure.co.uk/iso-27001-policy-templates/" TargetMode="External"/><Relationship Id="rId_obzgs4kdorvqdzxkb0nx" Type="http://schemas.openxmlformats.org/officeDocument/2006/relationships/hyperlink" Target="https://www.iso.org/standard/27001" TargetMode="External"/><Relationship Id="rIdrbjjthnlj7dtrdptu8kt9" Type="http://schemas.openxmlformats.org/officeDocument/2006/relationships/hyperlink" Target="https://sovereignsecure.co.uk/iso-27001-policy-templates/" TargetMode="External"/><Relationship Id="rIdpklw02abwrzd7dyp2fyd0" Type="http://schemas.openxmlformats.org/officeDocument/2006/relationships/hyperlink" Target="https://sovereignsecure.co.uk/iso-27001-checklist/" TargetMode="External"/><Relationship Id="rIdooltlsdgvavfzzpqbdsi_" Type="http://schemas.openxmlformats.org/officeDocument/2006/relationships/hyperlink" Target="https://ico.org.uk/for-organisations/uk-gdpr-guidance-and-resources/security/a-guide-to-data-security/" TargetMode="External"/><Relationship Id="rIdp_xahej8hpu2q02eiqmlm" Type="http://schemas.openxmlformats.org/officeDocument/2006/relationships/hyperlink" Target="https://sovereignsecure.co.uk/incident-response-plan-template/" TargetMode="External"/><Relationship Id="rId1tr-jv9epvmyqrxr5naev" Type="http://schemas.openxmlformats.org/officeDocument/2006/relationships/hyperlink" Target="https://sovereignsecure.co.uk/cyber-security-policy-template/" TargetMode="External"/><Relationship Id="rId17" Type="http://schemas.openxmlformats.org/officeDocument/2006/relationships/image" Target="media/728fc2a3bf8c8af21db16c83d499e1c1a95b6c0f.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 Template</dc:title>
  <dc:subject>ISO/IEC 27001:2022 information security policy template</dc:subject>
  <dc:creator>Sovereign Secure Ltd</dc:creator>
  <cp:keywords>ISO 27001, information security policy, ISMS policy, topic-specific policies, template</cp:keywords>
  <dc:description>Free information security policy template from sovereignsecure.co.uk, version October 2026.</dc:description>
  <cp:lastModifiedBy>Sovereign Secure Ltd</cp:lastModifiedBy>
  <cp:revision>1</cp:revision>
  <dcterms:created xsi:type="dcterms:W3CDTF">2026-10-13T00:04:22.112Z</dcterms:created>
  <dcterms:modified xsi:type="dcterms:W3CDTF">2026-10-13T00:04:22.113Z</dcterms:modified>
</cp:coreProperties>
</file>

<file path=docProps/custom.xml><?xml version="1.0" encoding="utf-8"?>
<Properties xmlns="http://schemas.openxmlformats.org/officeDocument/2006/custom-properties" xmlns:vt="http://schemas.openxmlformats.org/officeDocument/2006/docPropsVTypes"/>
</file>