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80" w:before="0"/>
      </w:pPr>
      <w:r>
        <w:drawing>
          <wp:inline distT="0" distB="0" distL="0" distR="0">
            <wp:extent cx="2095500" cy="552450"/>
            <wp:effectExtent t="0" r="0" b="0" l="0"/>
            <wp:docPr id="1" name="Sovereign Secure logo" descr="Sovereign Secure logo" title="Sovereign Sec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095500" cy="552450"/>
                    </a:xfrm>
                    <a:prstGeom prst="rect">
                      <a:avLst/>
                    </a:prstGeom>
                  </pic:spPr>
                </pic:pic>
              </a:graphicData>
            </a:graphic>
          </wp:inline>
        </w:drawing>
      </w:r>
    </w:p>
    <w:p>
      <w:pPr>
        <w:spacing w:after="80"/>
      </w:pPr>
      <w:r>
        <w:rPr>
          <w:b/>
          <w:bCs/>
          <w:color w:val="E02840"/>
          <w:spacing w:val="20"/>
          <w:sz w:val="20"/>
          <w:szCs w:val="20"/>
        </w:rPr>
        <w:t xml:space="preserve">FREE TEMPLATE</w:t>
      </w:r>
    </w:p>
    <w:p>
      <w:pPr>
        <w:spacing w:after="120"/>
      </w:pPr>
      <w:r>
        <w:rPr>
          <w:b/>
          <w:bCs/>
          <w:color w:val="102838"/>
          <w:sz w:val="52"/>
          <w:szCs w:val="52"/>
        </w:rPr>
        <w:t xml:space="preserve">Incident Response Plan Template</w:t>
      </w:r>
    </w:p>
    <w:p>
      <w:pPr>
        <w:spacing w:after="120"/>
      </w:pPr>
      <w:r>
        <w:rPr>
          <w:color w:val="5B6770"/>
          <w:sz w:val="24"/>
          <w:szCs w:val="24"/>
        </w:rPr>
        <w:t xml:space="preserve">A cyber incident response plan for UK organisations, mapped to PCI DSS v4.0.1 Requirement 12.10 and ISO/IEC 27001:2022 Annex A controls 5.24 to 5.28</w:t>
      </w:r>
    </w:p>
    <w:p>
      <w:pPr>
        <w:pBdr>
          <w:bottom w:val="single" w:color="E02840" w:sz="18" w:space="1"/>
        </w:pBdr>
        <w:spacing w:after="240" w:before="0"/>
      </w:pPr>
    </w:p>
    <w:p>
      <w:pPr>
        <w:spacing w:after="60"/>
      </w:pPr>
      <w:r>
        <w:rPr>
          <w:b/>
          <w:bCs/>
          <w:color w:val="E02840"/>
        </w:rPr>
        <w:t xml:space="preserve">Version  </w:t>
      </w:r>
      <w:r>
        <w:t xml:space="preserve">October 2026</w:t>
      </w:r>
    </w:p>
    <w:p>
      <w:pPr>
        <w:spacing w:after="60"/>
      </w:pPr>
      <w:r>
        <w:rPr>
          <w:b/>
          <w:bCs/>
          <w:color w:val="E02840"/>
        </w:rPr>
        <w:t xml:space="preserve">Published by  </w:t>
      </w:r>
      <w:r>
        <w:t xml:space="preserve">Sovereign Secure Ltd, </w:t>
      </w:r>
      <w:hyperlink w:history="1" r:id="rIde9koz7jr6togbylvepl2k">
        <w:r>
          <w:rPr>
            <w:rStyle w:val="Hyperlink"/>
          </w:rPr>
          <w:t xml:space="preserve">sovereignsecure.co.uk</w:t>
        </w:r>
      </w:hyperlink>
    </w:p>
    <w:p>
      <w:pPr>
        <w:spacing w:after="360"/>
      </w:pPr>
      <w:r>
        <w:rPr>
          <w:b/>
          <w:bCs/>
          <w:color w:val="E02840"/>
        </w:rPr>
        <w:t xml:space="preserve">Help  </w:t>
      </w:r>
      <w:r>
        <w:t xml:space="preserve">+44 161 523 5276  |  contactus@sovereignsecure.co.uk</w:t>
      </w:r>
    </w:p>
    <w:p>
      <w:pPr>
        <w:pStyle w:val="Heading1"/>
      </w:pPr>
      <w:r>
        <w:t xml:space="preserve">About this template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What it is</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A free, editable incident response plan (IRP) template. An incident response plan is the documented procedure an organisation follows to detect, contain, investigate and recover from a cyber security incident, and to notify the right people on time. It accompanies our free incident response plan template page at </w:t>
            </w:r>
            <w:hyperlink w:history="1" r:id="rId1fm_mkbqpwgqiuxxs_eeh">
              <w:r>
                <w:rPr>
                  <w:rStyle w:val="Hyperlink"/>
                  <w:sz w:val="20"/>
                  <w:szCs w:val="20"/>
                </w:rPr>
                <w:t xml:space="preserve">sovereignsecure.co.uk/incident-response-plan-template/</w:t>
              </w:r>
            </w:hyperlink>
            <w:r>
              <w:rPr>
                <w:sz w:val="20"/>
                <w:szCs w:val="20"/>
              </w:rPr>
              <w:t xml:space="preserve">.</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What is inside</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60" w:before="0"/>
            </w:pPr>
            <w:r>
              <w:rPr>
                <w:sz w:val="20"/>
                <w:szCs w:val="20"/>
              </w:rPr>
              <w:t xml:space="preserve">What the plan must cover for PCI DSS and ISO 27001</w:t>
            </w:r>
          </w:p>
          <w:p>
            <w:pPr>
              <w:spacing w:after="60" w:before="0"/>
            </w:pPr>
            <w:r>
              <w:rPr>
                <w:sz w:val="20"/>
                <w:szCs w:val="20"/>
              </w:rPr>
              <w:t xml:space="preserve">The incident response plan: ten sections with document control</w:t>
            </w:r>
          </w:p>
          <w:p>
            <w:pPr>
              <w:spacing w:after="60" w:before="0"/>
            </w:pPr>
            <w:r>
              <w:rPr>
                <w:sz w:val="20"/>
                <w:szCs w:val="20"/>
              </w:rPr>
              <w:t xml:space="preserve">UK notification deadlines</w:t>
            </w:r>
          </w:p>
          <w:p>
            <w:pPr>
              <w:spacing w:after="60" w:before="0"/>
            </w:pPr>
            <w:r>
              <w:rPr>
                <w:sz w:val="20"/>
                <w:szCs w:val="20"/>
              </w:rPr>
              <w:t xml:space="preserve">Extra steps for a card data breach</w:t>
            </w:r>
          </w:p>
          <w:p>
            <w:pPr>
              <w:spacing w:after="60" w:before="0"/>
            </w:pPr>
            <w:r>
              <w:rPr>
                <w:sz w:val="20"/>
                <w:szCs w:val="20"/>
              </w:rPr>
              <w:t xml:space="preserve">A worked example: a ransomware attack</w:t>
            </w:r>
          </w:p>
          <w:p>
            <w:pPr>
              <w:spacing w:after="60" w:before="0"/>
            </w:pPr>
            <w:r>
              <w:rPr>
                <w:sz w:val="20"/>
                <w:szCs w:val="20"/>
              </w:rPr>
              <w:t xml:space="preserve">Testing methods</w:t>
            </w:r>
          </w:p>
          <w:p>
            <w:pPr>
              <w:spacing w:after="60" w:before="0"/>
            </w:pPr>
            <w:r>
              <w:rPr>
                <w:sz w:val="20"/>
                <w:szCs w:val="20"/>
              </w:rPr>
              <w:t xml:space="preserve">Appendix A: incident log</w:t>
            </w:r>
          </w:p>
          <w:p>
            <w:pPr>
              <w:spacing w:after="60" w:before="0"/>
            </w:pPr>
            <w:r>
              <w:rPr>
                <w:sz w:val="20"/>
                <w:szCs w:val="20"/>
              </w:rPr>
              <w:t xml:space="preserve">Appendix B: notification record</w:t>
            </w:r>
          </w:p>
          <w:p>
            <w:pPr>
              <w:spacing w:after="60" w:before="0"/>
            </w:pPr>
            <w:r>
              <w:rPr>
                <w:sz w:val="20"/>
                <w:szCs w:val="20"/>
              </w:rPr>
              <w:t xml:space="preserve">Appendix C: testing and training record</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Version</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October 2026. Requirement and control numbers refer to PCI DSS v4.0.1 and ISO/IEC 27001:2022.</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The standards</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This template does not reproduce PCI DSS or ISO/IEC 27001; requirement and control numbers are given for reference only. PCI DSS is free from the PCI SSC document library (</w:t>
            </w:r>
            <w:hyperlink w:history="1" r:id="rIdlhdyt4h_ero_8h2p39thm">
              <w:r>
                <w:rPr>
                  <w:rStyle w:val="Hyperlink"/>
                  <w:sz w:val="20"/>
                  <w:szCs w:val="20"/>
                </w:rPr>
                <w:t xml:space="preserve">pcisecuritystandards.org/document_library</w:t>
              </w:r>
            </w:hyperlink>
            <w:r>
              <w:rPr>
                <w:sz w:val="20"/>
                <w:szCs w:val="20"/>
              </w:rPr>
              <w:t xml:space="preserve">); ISO/IEC 27001 is available from ISO or a national standards body such as BSI.</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Licence</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Free to use and adapt within your organisation.</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Dealing with an incident now?</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Sovereign Secure does not provide live incident response or retainers. Follow your insurer's and acquirer's instructions and the NCSC's incident management guidance (</w:t>
            </w:r>
            <w:hyperlink w:history="1" r:id="rIdactljhrlhlx_tobhox4su">
              <w:r>
                <w:rPr>
                  <w:rStyle w:val="Hyperlink"/>
                  <w:sz w:val="20"/>
                  <w:szCs w:val="20"/>
                </w:rPr>
                <w:t xml:space="preserve">ncsc.gov.uk/collection/incident-management</w:t>
              </w:r>
            </w:hyperlink>
            <w:r>
              <w:rPr>
                <w:sz w:val="20"/>
                <w:szCs w:val="20"/>
              </w:rPr>
              <w:t xml:space="preserve">).</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Getting help</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For a review of your completed plan within ISO 27001 or PCI DSS work, use the enquiry form on </w:t>
            </w:r>
            <w:hyperlink w:history="1" w:anchor="enquire" r:id="rIdsq9zi3tmqw6bscs5igpwx">
              <w:r>
                <w:rPr>
                  <w:rStyle w:val="Hyperlink"/>
                  <w:sz w:val="20"/>
                  <w:szCs w:val="20"/>
                </w:rPr>
                <w:t xml:space="preserve">our incident response plan template page</w:t>
              </w:r>
            </w:hyperlink>
            <w:r>
              <w:rPr>
                <w:sz w:val="20"/>
                <w:szCs w:val="20"/>
              </w:rPr>
              <w:t xml:space="preserve"> or call +44 161 523 5276. Sovereign Secure Ltd is ISO 27001 certified and a PCI SSC Qualified Security Assessor (QSA) company.</w:t>
            </w:r>
          </w:p>
        </w:tc>
      </w:tr>
    </w:tbl>
    <w:p>
      <w:pPr>
        <w:pStyle w:val="Heading1"/>
        <w:pageBreakBefore/>
      </w:pPr>
      <w:r>
        <w:t xml:space="preserve">How to use this template</w:t>
      </w:r>
    </w:p>
    <w:p>
      <w:pPr>
        <w:pStyle w:val="ListParagraph"/>
        <w:numPr>
          <w:ilvl w:val="0"/>
          <w:numId w:val="2"/>
        </w:numPr>
        <w:spacing w:after="90"/>
      </w:pPr>
      <w:r>
        <w:rPr>
          <w:b/>
          <w:bCs/>
        </w:rPr>
        <w:t xml:space="preserve">Fill in roles and 24/7 contacts first</w:t>
      </w:r>
      <w:r>
        <w:t xml:space="preserve"> (section 2). A plan with no names and numbers cannot be used at 2am.</w:t>
      </w:r>
    </w:p>
    <w:p>
      <w:pPr>
        <w:pStyle w:val="ListParagraph"/>
        <w:numPr>
          <w:ilvl w:val="0"/>
          <w:numId w:val="2"/>
        </w:numPr>
        <w:spacing w:after="90"/>
      </w:pPr>
      <w:r>
        <w:rPr>
          <w:b/>
          <w:bCs/>
        </w:rPr>
        <w:t xml:space="preserve">Replace everything in </w:t>
      </w:r>
      <w:r>
        <w:rPr>
          <w:b/>
          <w:bCs/>
          <w:highlight w:val="yellow"/>
        </w:rPr>
        <w:t xml:space="preserve">[square brackets]</w:t>
      </w:r>
      <w:r>
        <w:t xml:space="preserve"> and delete anything that does not apply. Keep the core plan short enough to use under pressure.</w:t>
      </w:r>
    </w:p>
    <w:p>
      <w:pPr>
        <w:pStyle w:val="ListParagraph"/>
        <w:numPr>
          <w:ilvl w:val="0"/>
          <w:numId w:val="2"/>
        </w:numPr>
        <w:spacing w:after="90"/>
      </w:pPr>
      <w:r>
        <w:rPr>
          <w:b/>
          <w:bCs/>
        </w:rPr>
        <w:t xml:space="preserve">Set response and update targets</w:t>
      </w:r>
      <w:r>
        <w:t xml:space="preserve"> for each severity level that you can actually staff (section 4).</w:t>
      </w:r>
    </w:p>
    <w:p>
      <w:pPr>
        <w:pStyle w:val="ListParagraph"/>
        <w:numPr>
          <w:ilvl w:val="0"/>
          <w:numId w:val="2"/>
        </w:numPr>
        <w:spacing w:after="90"/>
      </w:pPr>
      <w:r>
        <w:rPr>
          <w:b/>
          <w:bCs/>
        </w:rPr>
        <w:t xml:space="preserve">Write playbooks as appendices</w:t>
      </w:r>
      <w:r>
        <w:t xml:space="preserve"> for the incidents you are most likely to face: ransomware, business email compromise, card data compromise, lost devices, insider misuse and supplier compromise.</w:t>
      </w:r>
    </w:p>
    <w:p>
      <w:pPr>
        <w:pStyle w:val="ListParagraph"/>
        <w:numPr>
          <w:ilvl w:val="0"/>
          <w:numId w:val="2"/>
        </w:numPr>
        <w:spacing w:after="90"/>
      </w:pPr>
      <w:r>
        <w:rPr>
          <w:b/>
          <w:bCs/>
        </w:rPr>
        <w:t xml:space="preserve">Link the plan to your business continuity plan</w:t>
      </w:r>
      <w:r>
        <w:t xml:space="preserve"> and backup restore procedure (section 8). Our free business continuity plan template is at </w:t>
      </w:r>
      <w:hyperlink w:history="1" r:id="rIdpluph1oqfolqvxq_p__bn">
        <w:r>
          <w:rPr>
            <w:rStyle w:val="Hyperlink"/>
          </w:rPr>
          <w:t xml:space="preserve">sovereignsecure.co.uk/business-continuity-plan-template/</w:t>
        </w:r>
      </w:hyperlink>
      <w:r>
        <w:t xml:space="preserve">.</w:t>
      </w:r>
    </w:p>
    <w:p>
      <w:pPr>
        <w:pStyle w:val="ListParagraph"/>
        <w:numPr>
          <w:ilvl w:val="0"/>
          <w:numId w:val="2"/>
        </w:numPr>
        <w:spacing w:after="90"/>
      </w:pPr>
      <w:r>
        <w:rPr>
          <w:b/>
          <w:bCs/>
        </w:rPr>
        <w:t xml:space="preserve">Approve and distribute it,</w:t>
      </w:r>
      <w:r>
        <w:t xml:space="preserve"> including an offline copy, and train everyone with a role.</w:t>
      </w:r>
    </w:p>
    <w:p>
      <w:pPr>
        <w:pStyle w:val="ListParagraph"/>
        <w:numPr>
          <w:ilvl w:val="0"/>
          <w:numId w:val="2"/>
        </w:numPr>
        <w:spacing w:after="90"/>
      </w:pPr>
      <w:r>
        <w:rPr>
          <w:b/>
          <w:bCs/>
        </w:rPr>
        <w:t xml:space="preserve">Test it at least every 12 months</w:t>
      </w:r>
      <w:r>
        <w:t xml:space="preserve"> and after significant change (PCI DSS Requirement 12.10.2), and record each test in Appendix C.</w:t>
      </w:r>
    </w:p>
    <w:p>
      <w:pPr>
        <w:pStyle w:val="Heading1"/>
      </w:pPr>
      <w:r>
        <w:t xml:space="preserve">What should an incident response plan include?</w:t>
      </w:r>
    </w:p>
    <w:p>
      <w:pPr>
        <w:keepNext/>
        <w:spacing w:after="140" w:before="0"/>
      </w:pPr>
      <w:r>
        <w:t xml:space="preserve">At minimum: scope, roles, reporting, classification, response steps, evidence, notification, recovery, lessons learned and testing. The table shows what each section must cover to satisfy PCI DSS and ISO 27001.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4138"/>
        <w:gridCol w:w="2200"/>
      </w:tblGrid>
      <w:tr>
        <w:trPr>
          <w:cantSplit/>
          <w:tblHeader/>
        </w:trPr>
        <w:tc>
          <w:tcPr>
            <w:tcW w:type="dxa" w:w="33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Plan section</w:t>
            </w:r>
          </w:p>
        </w:tc>
        <w:tc>
          <w:tcPr>
            <w:tcW w:type="dxa" w:w="41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PCI DSS v4.0.1</w:t>
            </w:r>
          </w:p>
        </w:tc>
        <w:tc>
          <w:tcPr>
            <w:tcW w:type="dxa" w:w="22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ISO 27001:2022 Annex A</w:t>
            </w:r>
          </w:p>
        </w:tc>
      </w:tr>
      <w:tr>
        <w:trPr>
          <w:cantSplit/>
        </w:trPr>
        <w:tc>
          <w:tcPr>
            <w:tcW w:type="dxa" w:w="3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1. Purpose and scope</w:t>
            </w:r>
          </w:p>
        </w:tc>
        <w:tc>
          <w:tcPr>
            <w:tcW w:type="dxa" w:w="4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12.10.1 (coverage of all critical system components)</w:t>
            </w: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5.24</w:t>
            </w:r>
          </w:p>
        </w:tc>
      </w:tr>
      <w:tr>
        <w:trPr>
          <w:cantSplit/>
        </w:trPr>
        <w:tc>
          <w:tcPr>
            <w:tcW w:type="dxa" w:w="3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2. Roles and 24/7 contacts</w:t>
            </w:r>
          </w:p>
        </w:tc>
        <w:tc>
          <w:tcPr>
            <w:tcW w:type="dxa" w:w="4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12.10.1, 12.10.3 (personnel available 24/7)</w:t>
            </w: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5.24</w:t>
            </w:r>
          </w:p>
        </w:tc>
      </w:tr>
      <w:tr>
        <w:trPr>
          <w:cantSplit/>
        </w:trPr>
        <w:tc>
          <w:tcPr>
            <w:tcW w:type="dxa" w:w="3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3. Reporting and alert sources</w:t>
            </w:r>
          </w:p>
        </w:tc>
        <w:tc>
          <w:tcPr>
            <w:tcW w:type="dxa" w:w="4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12.10.5 (alerts from security monitoring)</w:t>
            </w: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6.8, 5.25</w:t>
            </w:r>
          </w:p>
        </w:tc>
      </w:tr>
      <w:tr>
        <w:trPr>
          <w:cantSplit/>
        </w:trPr>
        <w:tc>
          <w:tcPr>
            <w:tcW w:type="dxa" w:w="3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4. Severity classification</w:t>
            </w:r>
          </w:p>
        </w:tc>
        <w:tc>
          <w:tcPr>
            <w:tcW w:type="dxa" w:w="4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12.10.1 (procedures for different incident types)</w:t>
            </w: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5.25</w:t>
            </w:r>
          </w:p>
        </w:tc>
      </w:tr>
      <w:tr>
        <w:trPr>
          <w:cantSplit/>
        </w:trPr>
        <w:tc>
          <w:tcPr>
            <w:tcW w:type="dxa" w:w="3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5. Containment, eradication and recovery</w:t>
            </w:r>
          </w:p>
        </w:tc>
        <w:tc>
          <w:tcPr>
            <w:tcW w:type="dxa" w:w="4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12.10.1 (containment and mitigation)</w:t>
            </w: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5.26</w:t>
            </w:r>
          </w:p>
        </w:tc>
      </w:tr>
      <w:tr>
        <w:trPr>
          <w:cantSplit/>
        </w:trPr>
        <w:tc>
          <w:tcPr>
            <w:tcW w:type="dxa" w:w="3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6. Evidence handling</w:t>
            </w:r>
          </w:p>
        </w:tc>
        <w:tc>
          <w:tcPr>
            <w:tcW w:type="dxa" w:w="4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Supports any forensic investigation</w:t>
            </w: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5.28</w:t>
            </w:r>
          </w:p>
        </w:tc>
      </w:tr>
      <w:tr>
        <w:trPr>
          <w:cantSplit/>
        </w:trPr>
        <w:tc>
          <w:tcPr>
            <w:tcW w:type="dxa" w:w="3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7. Notification and communication</w:t>
            </w:r>
          </w:p>
        </w:tc>
        <w:tc>
          <w:tcPr>
            <w:tcW w:type="dxa" w:w="4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12.10.1 (payment brands, acquirers, legal reporting)</w:t>
            </w: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5.5, 5.24, 5.26</w:t>
            </w:r>
          </w:p>
        </w:tc>
      </w:tr>
      <w:tr>
        <w:trPr>
          <w:cantSplit/>
        </w:trPr>
        <w:tc>
          <w:tcPr>
            <w:tcW w:type="dxa" w:w="3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8. Continuity and backups</w:t>
            </w:r>
          </w:p>
        </w:tc>
        <w:tc>
          <w:tcPr>
            <w:tcW w:type="dxa" w:w="4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12.10.1 (business recovery, data backup)</w:t>
            </w: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5.29, 5.30, 8.13</w:t>
            </w:r>
          </w:p>
        </w:tc>
      </w:tr>
      <w:tr>
        <w:trPr>
          <w:cantSplit/>
        </w:trPr>
        <w:tc>
          <w:tcPr>
            <w:tcW w:type="dxa" w:w="3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9. Post-incident review</w:t>
            </w:r>
          </w:p>
        </w:tc>
        <w:tc>
          <w:tcPr>
            <w:tcW w:type="dxa" w:w="4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12.10.6 (lessons learned)</w:t>
            </w: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5.27</w:t>
            </w:r>
          </w:p>
        </w:tc>
      </w:tr>
      <w:tr>
        <w:trPr>
          <w:cantSplit/>
        </w:trPr>
        <w:tc>
          <w:tcPr>
            <w:tcW w:type="dxa" w:w="3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10. Testing, training and review</w:t>
            </w:r>
          </w:p>
        </w:tc>
        <w:tc>
          <w:tcPr>
            <w:tcW w:type="dxa" w:w="4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12.10.2, 12.10.4, 12.10.4.1</w:t>
            </w: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5.24, 5.27</w:t>
            </w:r>
          </w:p>
        </w:tc>
      </w:tr>
    </w:tbl>
    <w:p>
      <w:pPr>
        <w:spacing w:after="140" w:before="160"/>
      </w:pPr>
      <w:r>
        <w:t xml:space="preserve">PCI DSS also requires a procedure for stored card numbers (PAN) found where they should not be (12.10.7). That requirement, 12.10.4.1 and the payment page tamper-detection alerts in 12.10.5 were future-dated and have been mandatory since 31 March 2025.</w:t>
      </w:r>
    </w:p>
    <w:p>
      <w:pPr>
        <w:pStyle w:val="Heading1"/>
      </w:pPr>
      <w:r>
        <w:t xml:space="preserve">What are the incident response plan steps?</w:t>
      </w:r>
    </w:p>
    <w:p>
      <w:pPr>
        <w:keepNext/>
        <w:spacing w:after="140" w:before="0"/>
      </w:pPr>
      <w:r>
        <w:t xml:space="preserve">Most plans follow six steps of incident response:</w:t>
      </w:r>
    </w:p>
    <w:p>
      <w:pPr>
        <w:pStyle w:val="ListParagraph"/>
        <w:numPr>
          <w:ilvl w:val="0"/>
          <w:numId w:val="3"/>
        </w:numPr>
        <w:spacing w:after="90"/>
      </w:pPr>
      <w:r>
        <w:rPr>
          <w:b/>
          <w:bCs/>
        </w:rPr>
        <w:t xml:space="preserve">Preparation:</w:t>
      </w:r>
      <w:r>
        <w:t xml:space="preserve"> the plan, contacts, tools, logging and training in place before anything happens.</w:t>
      </w:r>
    </w:p>
    <w:p>
      <w:pPr>
        <w:pStyle w:val="ListParagraph"/>
        <w:numPr>
          <w:ilvl w:val="0"/>
          <w:numId w:val="3"/>
        </w:numPr>
        <w:spacing w:after="90"/>
      </w:pPr>
      <w:r>
        <w:rPr>
          <w:b/>
          <w:bCs/>
        </w:rPr>
        <w:t xml:space="preserve">Detection and analysis:</w:t>
      </w:r>
      <w:r>
        <w:t xml:space="preserve"> confirm an incident, record a timeline and set severity.</w:t>
      </w:r>
    </w:p>
    <w:p>
      <w:pPr>
        <w:pStyle w:val="ListParagraph"/>
        <w:numPr>
          <w:ilvl w:val="0"/>
          <w:numId w:val="3"/>
        </w:numPr>
        <w:spacing w:after="90"/>
      </w:pPr>
      <w:r>
        <w:rPr>
          <w:b/>
          <w:bCs/>
        </w:rPr>
        <w:t xml:space="preserve">Containment:</w:t>
      </w:r>
      <w:r>
        <w:t xml:space="preserve"> stop the spread, for example by isolating systems and disabling accounts.</w:t>
      </w:r>
    </w:p>
    <w:p>
      <w:pPr>
        <w:pStyle w:val="ListParagraph"/>
        <w:numPr>
          <w:ilvl w:val="0"/>
          <w:numId w:val="3"/>
        </w:numPr>
        <w:spacing w:after="90"/>
      </w:pPr>
      <w:r>
        <w:rPr>
          <w:b/>
          <w:bCs/>
        </w:rPr>
        <w:t xml:space="preserve">Eradication:</w:t>
      </w:r>
      <w:r>
        <w:t xml:space="preserve"> remove the cause, close the entry point and reset credentials.</w:t>
      </w:r>
    </w:p>
    <w:p>
      <w:pPr>
        <w:pStyle w:val="ListParagraph"/>
        <w:numPr>
          <w:ilvl w:val="0"/>
          <w:numId w:val="3"/>
        </w:numPr>
        <w:spacing w:after="90"/>
      </w:pPr>
      <w:r>
        <w:rPr>
          <w:b/>
          <w:bCs/>
        </w:rPr>
        <w:t xml:space="preserve">Recovery:</w:t>
      </w:r>
      <w:r>
        <w:t xml:space="preserve"> restore from known-good backups, monitor closely and return to service.</w:t>
      </w:r>
    </w:p>
    <w:p>
      <w:pPr>
        <w:pStyle w:val="ListParagraph"/>
        <w:numPr>
          <w:ilvl w:val="0"/>
          <w:numId w:val="3"/>
        </w:numPr>
        <w:spacing w:after="90"/>
      </w:pPr>
      <w:r>
        <w:rPr>
          <w:b/>
          <w:bCs/>
        </w:rPr>
        <w:t xml:space="preserve">Lessons learned:</w:t>
      </w:r>
      <w:r>
        <w:t xml:space="preserve"> find the root cause and improve controls and the plan.</w:t>
      </w:r>
    </w:p>
    <w:p>
      <w:pPr>
        <w:pStyle w:val="Heading1"/>
        <w:pageBreakBefore/>
      </w:pPr>
      <w:r>
        <w:t xml:space="preserve">The incident response plan</w:t>
      </w:r>
    </w:p>
    <w:p>
      <w:pPr>
        <w:pBdr>
          <w:top w:val="single" w:color="F4F3EF" w:sz="4" w:space="4"/>
          <w:left w:val="single" w:color="E02840" w:sz="24" w:space="8"/>
          <w:bottom w:val="single" w:color="F4F3EF" w:sz="4" w:space="4"/>
        </w:pBdr>
        <w:shd w:fill="F4F3EF" w:color="auto" w:val="clear"/>
        <w:spacing w:after="220" w:before="120"/>
        <w:ind w:left="200" w:right="120"/>
      </w:pPr>
      <w:r>
        <w:rPr>
          <w:b/>
          <w:bCs/>
          <w:color w:val="E02840"/>
        </w:rPr>
        <w:t xml:space="preserve">Guidance: </w:t>
      </w:r>
      <w:r>
        <w:t xml:space="preserve">Copy this part into your own document and replace everything in </w:t>
      </w:r>
      <w:r>
        <w:rPr>
          <w:highlight w:val="yellow"/>
        </w:rPr>
        <w:t xml:space="preserve">[square brackets]</w:t>
      </w:r>
      <w:r>
        <w:t xml:space="preserve">. Put detailed playbooks in appendices.</w:t>
      </w:r>
    </w:p>
    <w:p>
      <w:pPr>
        <w:keepNext/>
        <w:spacing w:after="200" w:before="120"/>
      </w:pPr>
      <w:r>
        <w:rPr>
          <w:b/>
          <w:bCs/>
          <w:color w:val="102838"/>
          <w:sz w:val="32"/>
          <w:szCs w:val="32"/>
          <w:highlight w:val="yellow"/>
        </w:rPr>
        <w:t xml:space="preserve">[Organisation name]</w:t>
      </w:r>
      <w:r>
        <w:rPr>
          <w:b/>
          <w:bCs/>
          <w:color w:val="102838"/>
          <w:sz w:val="32"/>
          <w:szCs w:val="32"/>
        </w:rPr>
        <w:t xml:space="preserve"> Incident Response Plan</w:t>
      </w:r>
    </w:p>
    <w:p>
      <w:pPr>
        <w:pStyle w:val="Heading2"/>
      </w:pPr>
      <w:r>
        <w:t xml:space="preserve">Document control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1900"/>
        <w:gridCol w:w="1600"/>
        <w:gridCol w:w="1600"/>
        <w:gridCol w:w="1738"/>
      </w:tblGrid>
      <w:tr>
        <w:trPr>
          <w:cantSplit/>
          <w:tblHeader/>
        </w:trPr>
        <w:tc>
          <w:tcPr>
            <w:tcW w:type="dxa" w:w="11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Version</w:t>
            </w:r>
          </w:p>
        </w:tc>
        <w:tc>
          <w:tcPr>
            <w:tcW w:type="dxa" w:w="17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Plan owner</w:t>
            </w:r>
          </w:p>
        </w:tc>
        <w:tc>
          <w:tcPr>
            <w:tcW w:type="dxa" w:w="19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Approved by</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Approval date</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Last tested</w:t>
            </w:r>
          </w:p>
        </w:tc>
        <w:tc>
          <w:tcPr>
            <w:tcW w:type="dxa" w:w="17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Next review</w:t>
            </w:r>
          </w:p>
        </w:tc>
      </w:tr>
      <w:tr>
        <w:trPr>
          <w:cantSplit/>
        </w:trPr>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[x]</w:t>
            </w: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[role]</w:t>
            </w: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[director]</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[date]</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[date]</w:t>
            </w:r>
          </w:p>
        </w:tc>
        <w:tc>
          <w:tcPr>
            <w:tcW w:type="dxa" w:w="17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[date]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600"/>
        <w:gridCol w:w="2200"/>
        <w:gridCol w:w="4738"/>
      </w:tblGrid>
      <w:tr>
        <w:trPr>
          <w:cantSplit/>
          <w:tblHeader/>
        </w:trPr>
        <w:tc>
          <w:tcPr>
            <w:tcW w:type="dxa" w:w="11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Version</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Date</w:t>
            </w:r>
          </w:p>
        </w:tc>
        <w:tc>
          <w:tcPr>
            <w:tcW w:type="dxa" w:w="22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Author</w:t>
            </w:r>
          </w:p>
        </w:tc>
        <w:tc>
          <w:tcPr>
            <w:tcW w:type="dxa" w:w="47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Summary of changes</w:t>
            </w:r>
          </w:p>
        </w:tc>
      </w:tr>
      <w:tr>
        <w:trPr>
          <w:cantSplit/>
        </w:trPr>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[1.0]</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[date]</w:t>
            </w: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[name]</w:t>
            </w:r>
          </w:p>
        </w:tc>
        <w:tc>
          <w:tcPr>
            <w:tcW w:type="dxa" w:w="47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[First issue]</w:t>
            </w:r>
          </w:p>
        </w:tc>
      </w:tr>
      <w:tr>
        <w:trPr>
          <w:cantSplit/>
        </w:trPr>
        <w:tc>
          <w:tcPr>
            <w:tcW w:type="dxa" w:w="1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47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Pr>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47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bl>
    <w:p>
      <w:pPr>
        <w:pStyle w:val="Heading2"/>
      </w:pPr>
      <w:r>
        <w:t xml:space="preserve">1. Purpose and scope</w:t>
      </w:r>
    </w:p>
    <w:p>
      <w:pPr>
        <w:spacing w:after="140" w:before="0"/>
      </w:pPr>
      <w:r>
        <w:t xml:space="preserve">This plan sets out how </w:t>
      </w:r>
      <w:r>
        <w:rPr>
          <w:highlight w:val="yellow"/>
        </w:rPr>
        <w:t xml:space="preserve">[Organisation]</w:t>
      </w:r>
      <w:r>
        <w:t xml:space="preserve"> detects, responds to and recovers from information security incidents affecting </w:t>
      </w:r>
      <w:r>
        <w:rPr>
          <w:highlight w:val="yellow"/>
        </w:rPr>
        <w:t xml:space="preserve">[systems, sites, services and data in scope, including the cardholder data environment if applicable]</w:t>
      </w:r>
      <w:r>
        <w:t xml:space="preserve">. It applies to all staff, contractors and </w:t>
      </w:r>
      <w:r>
        <w:rPr>
          <w:highlight w:val="yellow"/>
        </w:rPr>
        <w:t xml:space="preserve">[named suppliers]</w:t>
      </w:r>
      <w:r>
        <w:t xml:space="preserve">. Owner: </w:t>
      </w:r>
      <w:r>
        <w:rPr>
          <w:highlight w:val="yellow"/>
        </w:rPr>
        <w:t xml:space="preserve">[role]</w:t>
      </w:r>
      <w:r>
        <w:t xml:space="preserve">. Approved by: </w:t>
      </w:r>
      <w:r>
        <w:rPr>
          <w:highlight w:val="yellow"/>
        </w:rPr>
        <w:t xml:space="preserve">[director]</w:t>
      </w:r>
      <w:r>
        <w:t xml:space="preserve">. Last tested: </w:t>
      </w:r>
      <w:r>
        <w:rPr>
          <w:highlight w:val="yellow"/>
        </w:rPr>
        <w:t xml:space="preserve">[date]</w:t>
      </w:r>
      <w:r>
        <w:t xml:space="preserve">. Next review: </w:t>
      </w:r>
      <w:r>
        <w:rPr>
          <w:highlight w:val="yellow"/>
        </w:rPr>
        <w:t xml:space="preserve">[date, no more than 12 months away]</w:t>
      </w:r>
      <w:r>
        <w:t xml:space="preserve">.</w:t>
      </w:r>
    </w:p>
    <w:p>
      <w:pPr>
        <w:spacing w:after="140" w:before="0"/>
      </w:pPr>
      <w:r>
        <w:t xml:space="preserve">An </w:t>
      </w:r>
      <w:r>
        <w:rPr>
          <w:b/>
          <w:bCs/>
        </w:rPr>
        <w:t xml:space="preserve">event</w:t>
      </w:r>
      <w:r>
        <w:t xml:space="preserve"> is anything observed that may affect security. An </w:t>
      </w:r>
      <w:r>
        <w:rPr>
          <w:b/>
          <w:bCs/>
        </w:rPr>
        <w:t xml:space="preserve">incident</w:t>
      </w:r>
      <w:r>
        <w:t xml:space="preserve"> is an event that threatens the confidentiality, integrity or availability of information or systems. A </w:t>
      </w:r>
      <w:r>
        <w:rPr>
          <w:b/>
          <w:bCs/>
        </w:rPr>
        <w:t xml:space="preserve">personal data breach</w:t>
      </w:r>
      <w:r>
        <w:t xml:space="preserve"> is a security breach leading to the accidental or unlawful destruction, loss, alteration, unauthorised disclosure of, or access to, personal data; the ICO deadline runs from when you become aware of one.</w:t>
      </w:r>
    </w:p>
    <w:p>
      <w:pPr>
        <w:pStyle w:val="Heading2"/>
      </w:pPr>
      <w:r>
        <w:t xml:space="preserve">2. Roles and contacts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2838"/>
        <w:gridCol w:w="1500"/>
        <w:gridCol w:w="1500"/>
        <w:gridCol w:w="1800"/>
      </w:tblGrid>
      <w:tr>
        <w:trPr>
          <w:cantSplit/>
          <w:tblHeader/>
        </w:trPr>
        <w:tc>
          <w:tcPr>
            <w:tcW w:type="dxa" w:w="20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Role</w:t>
            </w:r>
          </w:p>
        </w:tc>
        <w:tc>
          <w:tcPr>
            <w:tcW w:type="dxa" w:w="28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Responsibilities</w:t>
            </w:r>
          </w:p>
        </w:tc>
        <w:tc>
          <w:tcPr>
            <w:tcW w:type="dxa" w:w="15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Primary</w:t>
            </w:r>
          </w:p>
        </w:tc>
        <w:tc>
          <w:tcPr>
            <w:tcW w:type="dxa" w:w="15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Deputy</w:t>
            </w:r>
          </w:p>
        </w:tc>
        <w:tc>
          <w:tcPr>
            <w:tcW w:type="dxa" w:w="18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24/7 contact</w:t>
            </w:r>
          </w:p>
        </w:tc>
      </w:tr>
      <w:tr>
        <w:trPr>
          <w:cantSplit/>
        </w:trPr>
        <w:tc>
          <w:tcPr>
            <w:tcW w:type="dxa" w:w="2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Incident lead</w:t>
            </w:r>
          </w:p>
        </w:tc>
        <w:tc>
          <w:tcPr>
            <w:tcW w:type="dxa" w:w="28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Runs the response, sets severity, keeps the log (Appendix A)</w:t>
            </w: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[Name]</w:t>
            </w: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[Name]</w:t>
            </w: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[Number]</w:t>
            </w:r>
          </w:p>
        </w:tc>
      </w:tr>
      <w:tr>
        <w:trPr>
          <w:cantSplit/>
        </w:trPr>
        <w:tc>
          <w:tcPr>
            <w:tcW w:type="dxa" w:w="2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Technical lead</w:t>
            </w:r>
          </w:p>
        </w:tc>
        <w:tc>
          <w:tcPr>
            <w:tcW w:type="dxa" w:w="28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Investigation, containment, recovery</w:t>
            </w: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[Name]</w:t>
            </w: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[Name]</w:t>
            </w: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[Number]</w:t>
            </w:r>
          </w:p>
        </w:tc>
      </w:tr>
      <w:tr>
        <w:trPr>
          <w:cantSplit/>
        </w:trPr>
        <w:tc>
          <w:tcPr>
            <w:tcW w:type="dxa" w:w="2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Communications lead</w:t>
            </w:r>
          </w:p>
        </w:tc>
        <w:tc>
          <w:tcPr>
            <w:tcW w:type="dxa" w:w="28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Staff, customer and media messages</w:t>
            </w: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[Name]</w:t>
            </w: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[Name]</w:t>
            </w: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[Number]</w:t>
            </w:r>
          </w:p>
        </w:tc>
      </w:tr>
      <w:tr>
        <w:trPr>
          <w:cantSplit/>
        </w:trPr>
        <w:tc>
          <w:tcPr>
            <w:tcW w:type="dxa" w:w="2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Data protection lead</w:t>
            </w:r>
          </w:p>
        </w:tc>
        <w:tc>
          <w:tcPr>
            <w:tcW w:type="dxa" w:w="28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Personal data assessment, ICO decision</w:t>
            </w: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[Name]</w:t>
            </w: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[Name]</w:t>
            </w: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[Number]</w:t>
            </w:r>
          </w:p>
        </w:tc>
      </w:tr>
      <w:tr>
        <w:trPr>
          <w:cantSplit/>
        </w:trPr>
        <w:tc>
          <w:tcPr>
            <w:tcW w:type="dxa" w:w="2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Executive decision maker</w:t>
            </w:r>
          </w:p>
        </w:tc>
        <w:tc>
          <w:tcPr>
            <w:tcW w:type="dxa" w:w="28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Authorises shutdowns, spend and disclosures</w:t>
            </w: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[Name]</w:t>
            </w: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[Name]</w:t>
            </w: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[Number]</w:t>
            </w:r>
          </w:p>
        </w:tc>
      </w:tr>
    </w:tbl>
    <w:p>
      <w:pPr>
        <w:spacing w:after="160" w:before="0"/>
      </w:pPr>
    </w:p>
    <w:p>
      <w:pPr>
        <w:keepNext/>
        <w:spacing w:after="140" w:before="0"/>
      </w:pPr>
      <w:r>
        <w:rPr>
          <w:b/>
          <w:bCs/>
        </w:rPr>
        <w:t xml:space="preserve">External contacts: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200"/>
        <w:gridCol w:w="1800"/>
        <w:gridCol w:w="2638"/>
      </w:tblGrid>
      <w:tr>
        <w:trPr>
          <w:cantSplit/>
          <w:tblHeader/>
        </w:trPr>
        <w:tc>
          <w:tcPr>
            <w:tcW w:type="dxa" w:w="30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Organisation</w:t>
            </w:r>
          </w:p>
        </w:tc>
        <w:tc>
          <w:tcPr>
            <w:tcW w:type="dxa" w:w="22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Contact name</w:t>
            </w:r>
          </w:p>
        </w:tc>
        <w:tc>
          <w:tcPr>
            <w:tcW w:type="dxa" w:w="18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24/7 number</w:t>
            </w:r>
          </w:p>
        </w:tc>
        <w:tc>
          <w:tcPr>
            <w:tcW w:type="dxa" w:w="26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Contract, policy or account reference</w:t>
            </w:r>
          </w:p>
        </w:tc>
      </w:tr>
      <w:tr>
        <w:trPr>
          <w:cantSplit/>
        </w:trPr>
        <w:tc>
          <w:tcPr>
            <w:tcW w:type="dxa" w:w="3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highlight w:val="yellow"/>
              </w:rPr>
              <w:t xml:space="preserve">[IT or managed service provider]</w:t>
            </w: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6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Pr>
        <w:tc>
          <w:tcPr>
            <w:tcW w:type="dxa" w:w="3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highlight w:val="yellow"/>
              </w:rPr>
              <w:t xml:space="preserve">[Cloud and hosting providers]</w:t>
            </w: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6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Pr>
        <w:tc>
          <w:tcPr>
            <w:tcW w:type="dxa" w:w="3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highlight w:val="yellow"/>
              </w:rPr>
              <w:t xml:space="preserve">[Insurer]</w:t>
            </w: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6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Pr>
        <w:tc>
          <w:tcPr>
            <w:tcW w:type="dxa" w:w="3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highlight w:val="yellow"/>
              </w:rPr>
              <w:t xml:space="preserve">[Legal adviser]</w:t>
            </w: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6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Pr>
        <w:tc>
          <w:tcPr>
            <w:tcW w:type="dxa" w:w="3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highlight w:val="yellow"/>
              </w:rPr>
              <w:t xml:space="preserve">[Acquirer]</w:t>
            </w: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6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Pr>
        <w:tc>
          <w:tcPr>
            <w:tcW w:type="dxa" w:w="3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highlight w:val="yellow"/>
              </w:rPr>
              <w:t xml:space="preserve">[Payment service provider]</w:t>
            </w: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6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Pr>
        <w:tc>
          <w:tcPr>
            <w:tcW w:type="dxa" w:w="3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highlight w:val="yellow"/>
              </w:rPr>
              <w:t xml:space="preserve">[Forensic provider]</w:t>
            </w: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6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bl>
    <w:p>
      <w:pPr>
        <w:pStyle w:val="Heading2"/>
      </w:pPr>
      <w:r>
        <w:t xml:space="preserve">3. How to report a suspected incident</w:t>
      </w:r>
    </w:p>
    <w:p>
      <w:pPr>
        <w:spacing w:after="140" w:before="0"/>
      </w:pPr>
      <w:r>
        <w:t xml:space="preserve">Anyone who notices something suspicious reports it immediately to </w:t>
      </w:r>
      <w:r>
        <w:rPr>
          <w:highlight w:val="yellow"/>
        </w:rPr>
        <w:t xml:space="preserve">[service desk, phone and email, 24/7]</w:t>
      </w:r>
      <w:r>
        <w:t xml:space="preserve">, saying what they saw, when and on which system. Do not investigate, switch off or delete anything.</w:t>
      </w:r>
    </w:p>
    <w:p>
      <w:pPr>
        <w:spacing w:after="140" w:before="0"/>
      </w:pPr>
      <w:r>
        <w:t xml:space="preserve">Alerts from intrusion detection, file integrity monitoring, payment page tamper detection and wireless scanning go to </w:t>
      </w:r>
      <w:r>
        <w:rPr>
          <w:highlight w:val="yellow"/>
        </w:rPr>
        <w:t xml:space="preserve">[team]</w:t>
      </w:r>
      <w:r>
        <w:t xml:space="preserve"> for triage.</w:t>
      </w:r>
    </w:p>
    <w:p>
      <w:pPr>
        <w:pStyle w:val="Heading2"/>
      </w:pPr>
      <w:r>
        <w:t xml:space="preserve">4. Severity levels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200"/>
        <w:gridCol w:w="2400"/>
        <w:gridCol w:w="2338"/>
        <w:gridCol w:w="1600"/>
      </w:tblGrid>
      <w:tr>
        <w:trPr>
          <w:cantSplit/>
          <w:tblHeader/>
        </w:trPr>
        <w:tc>
          <w:tcPr>
            <w:tcW w:type="dxa" w:w="11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Level</w:t>
            </w:r>
          </w:p>
        </w:tc>
        <w:tc>
          <w:tcPr>
            <w:tcW w:type="dxa" w:w="22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Description</w:t>
            </w:r>
          </w:p>
        </w:tc>
        <w:tc>
          <w:tcPr>
            <w:tcW w:type="dxa" w:w="24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Examples</w:t>
            </w:r>
          </w:p>
        </w:tc>
        <w:tc>
          <w:tcPr>
            <w:tcW w:type="dxa" w:w="23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Escalate to</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Response and update targets</w:t>
            </w:r>
          </w:p>
        </w:tc>
      </w:tr>
      <w:tr>
        <w:trPr>
          <w:cantSplit/>
        </w:trPr>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Critical</w:t>
            </w: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Confirmed compromise of sensitive data or a critical service</w:t>
            </w:r>
          </w:p>
        </w:tc>
        <w:tc>
          <w:tcPr>
            <w:tcW w:type="dxa" w:w="2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Ransomware, card data compromise, payment page skimming</w:t>
            </w:r>
          </w:p>
        </w:tc>
        <w:tc>
          <w:tcPr>
            <w:tcW w:type="dxa" w:w="2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Executive decision maker, data protection lead, insurer, immediately</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[Targets]</w:t>
            </w:r>
          </w:p>
        </w:tc>
      </w:tr>
      <w:tr>
        <w:trPr>
          <w:cantSplit/>
        </w:trPr>
        <w:tc>
          <w:tcPr>
            <w:tcW w:type="dxa" w:w="1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High</w:t>
            </w: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Likely compromise, contained to limited systems</w:t>
            </w:r>
          </w:p>
        </w:tc>
        <w:tc>
          <w:tcPr>
            <w:tcW w:type="dxa" w:w="2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Compromised administrator account, malware on a server</w:t>
            </w:r>
          </w:p>
        </w:tc>
        <w:tc>
          <w:tcPr>
            <w:tcW w:type="dxa" w:w="23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Incident lead and technical lead</w:t>
            </w: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[Targets]</w:t>
            </w:r>
          </w:p>
        </w:tc>
      </w:tr>
      <w:tr>
        <w:trPr>
          <w:cantSplit/>
        </w:trPr>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Medium</w:t>
            </w: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Limited impact or attempted attack</w:t>
            </w:r>
          </w:p>
        </w:tc>
        <w:tc>
          <w:tcPr>
            <w:tcW w:type="dxa" w:w="2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Credentials entered on a phishing page, lost encrypted laptop</w:t>
            </w:r>
          </w:p>
        </w:tc>
        <w:tc>
          <w:tcPr>
            <w:tcW w:type="dxa" w:w="2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Incident lead</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[Targets]</w:t>
            </w:r>
          </w:p>
        </w:tc>
      </w:tr>
      <w:tr>
        <w:trPr>
          <w:cantSplit/>
        </w:trPr>
        <w:tc>
          <w:tcPr>
            <w:tcW w:type="dxa" w:w="1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Low</w:t>
            </w: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No impact</w:t>
            </w:r>
          </w:p>
        </w:tc>
        <w:tc>
          <w:tcPr>
            <w:tcW w:type="dxa" w:w="2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Blocked phishing email, routine scanning</w:t>
            </w:r>
          </w:p>
        </w:tc>
        <w:tc>
          <w:tcPr>
            <w:tcW w:type="dxa" w:w="23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Logged and reviewed</w:t>
            </w: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[Targets]</w:t>
            </w:r>
          </w:p>
        </w:tc>
      </w:tr>
    </w:tbl>
    <w:p>
      <w:pPr>
        <w:spacing w:after="140" w:before="120"/>
      </w:pPr>
      <w:r>
        <w:t xml:space="preserve">Set response and update targets for each level that you can actually staff.</w:t>
      </w:r>
    </w:p>
    <w:p>
      <w:pPr>
        <w:pStyle w:val="Heading2"/>
      </w:pPr>
      <w:r>
        <w:t xml:space="preserve">5. Response procedure</w:t>
      </w:r>
    </w:p>
    <w:p>
      <w:pPr>
        <w:pStyle w:val="ListParagraph"/>
        <w:numPr>
          <w:ilvl w:val="0"/>
          <w:numId w:val="4"/>
        </w:numPr>
        <w:spacing w:after="90"/>
      </w:pPr>
      <w:r>
        <w:rPr>
          <w:b/>
          <w:bCs/>
        </w:rPr>
        <w:t xml:space="preserve">Analyse:</w:t>
      </w:r>
      <w:r>
        <w:t xml:space="preserve"> open the incident log (Appendix A), record every action with a time, set severity, and decide early whether personal data or card data is involved, because both start external deadlines.</w:t>
      </w:r>
    </w:p>
    <w:p>
      <w:pPr>
        <w:pStyle w:val="ListParagraph"/>
        <w:numPr>
          <w:ilvl w:val="0"/>
          <w:numId w:val="4"/>
        </w:numPr>
        <w:spacing w:after="90"/>
      </w:pPr>
      <w:r>
        <w:rPr>
          <w:b/>
          <w:bCs/>
        </w:rPr>
        <w:t xml:space="preserve">Contain:</w:t>
      </w:r>
      <w:r>
        <w:t xml:space="preserve"> isolate affected systems from the network rather than switching them off, disable compromised accounts and block known indicators.</w:t>
      </w:r>
    </w:p>
    <w:p>
      <w:pPr>
        <w:pStyle w:val="ListParagraph"/>
        <w:numPr>
          <w:ilvl w:val="0"/>
          <w:numId w:val="4"/>
        </w:numPr>
        <w:spacing w:after="90"/>
      </w:pPr>
      <w:r>
        <w:rPr>
          <w:b/>
          <w:bCs/>
        </w:rPr>
        <w:t xml:space="preserve">Eradicate:</w:t>
      </w:r>
      <w:r>
        <w:t xml:space="preserve"> remove malware and persistence, close the entry point, reset credentials and patch.</w:t>
      </w:r>
    </w:p>
    <w:p>
      <w:pPr>
        <w:pStyle w:val="ListParagraph"/>
        <w:numPr>
          <w:ilvl w:val="0"/>
          <w:numId w:val="4"/>
        </w:numPr>
        <w:spacing w:after="90"/>
      </w:pPr>
      <w:r>
        <w:rPr>
          <w:b/>
          <w:bCs/>
        </w:rPr>
        <w:t xml:space="preserve">Recover:</w:t>
      </w:r>
      <w:r>
        <w:t xml:space="preserve"> restore from known-good backups, check integrity, monitor closely and return to service with the incident lead's sign-off.</w:t>
      </w:r>
    </w:p>
    <w:p>
      <w:pPr>
        <w:spacing w:after="140" w:before="0"/>
      </w:pPr>
      <w:r>
        <w:t xml:space="preserve">Appendices: playbooks for ransomware, business email compromise, card data compromise, lost devices, insider misuse and supplier compromise.</w:t>
      </w:r>
    </w:p>
    <w:p>
      <w:pPr>
        <w:pStyle w:val="Heading2"/>
      </w:pPr>
      <w:r>
        <w:t xml:space="preserve">6. Evidence handling</w:t>
      </w:r>
    </w:p>
    <w:p>
      <w:pPr>
        <w:spacing w:after="140" w:before="0"/>
      </w:pPr>
      <w:r>
        <w:t xml:space="preserve">Preserve logs, disk and memory images where possible, and record who collected what, when and how (chain of custody). Take forensic advice before running tools on affected systems.</w:t>
      </w:r>
    </w:p>
    <w:p>
      <w:pPr>
        <w:pStyle w:val="Heading2"/>
      </w:pPr>
      <w:r>
        <w:t xml:space="preserve">7. Notification and communication</w:t>
      </w:r>
    </w:p>
    <w:p>
      <w:pPr>
        <w:spacing w:after="140" w:before="0"/>
      </w:pPr>
      <w:r>
        <w:t xml:space="preserve">Use an out-of-band channel if email or chat may be compromised. The data protection lead decides on ICO and individual notification; the incident lead notifies the acquirer, insurer and regulators using the deadlines in the table below, and records each one in Appendix B. One approved spokesperson handles external questions.</w:t>
      </w:r>
    </w:p>
    <w:p>
      <w:pPr>
        <w:pStyle w:val="Heading2"/>
      </w:pPr>
      <w:r>
        <w:t xml:space="preserve">8. Continuity and backups</w:t>
      </w:r>
    </w:p>
    <w:p>
      <w:pPr>
        <w:spacing w:after="140" w:before="0"/>
      </w:pPr>
      <w:r>
        <w:t xml:space="preserve">Refer to </w:t>
      </w:r>
      <w:r>
        <w:rPr>
          <w:highlight w:val="yellow"/>
        </w:rPr>
        <w:t xml:space="preserve">[business continuity plan]</w:t>
      </w:r>
      <w:r>
        <w:t xml:space="preserve"> and </w:t>
      </w:r>
      <w:r>
        <w:rPr>
          <w:highlight w:val="yellow"/>
        </w:rPr>
        <w:t xml:space="preserve">[backup restore procedure]</w:t>
      </w:r>
      <w:r>
        <w:t xml:space="preserve">, and record recovery priorities for critical services.</w:t>
      </w:r>
    </w:p>
    <w:p>
      <w:pPr>
        <w:pStyle w:val="Heading2"/>
      </w:pPr>
      <w:r>
        <w:t xml:space="preserve">9. Post-incident review</w:t>
      </w:r>
    </w:p>
    <w:p>
      <w:pPr>
        <w:spacing w:after="140" w:before="0"/>
      </w:pPr>
      <w:r>
        <w:t xml:space="preserve">Within </w:t>
      </w:r>
      <w:r>
        <w:rPr>
          <w:highlight w:val="yellow"/>
        </w:rPr>
        <w:t xml:space="preserve">[number]</w:t>
      </w:r>
      <w:r>
        <w:t xml:space="preserve"> days of closure: root cause, what worked, what did not, and actions with owners and dates. Update this plan, risk register and controls.</w:t>
      </w:r>
    </w:p>
    <w:p>
      <w:pPr>
        <w:pStyle w:val="Heading2"/>
      </w:pPr>
      <w:r>
        <w:t xml:space="preserve">10. Testing, training and review</w:t>
      </w:r>
    </w:p>
    <w:p>
      <w:pPr>
        <w:spacing w:after="140" w:before="0"/>
      </w:pPr>
      <w:r>
        <w:t xml:space="preserve">Test this plan at least every 12 months and after significant change. Train everyone with a role, at the frequency set in </w:t>
      </w:r>
      <w:r>
        <w:rPr>
          <w:highlight w:val="yellow"/>
        </w:rPr>
        <w:t xml:space="preserve">[targeted risk analysis or training plan]</w:t>
      </w:r>
      <w:r>
        <w:t xml:space="preserve">. Keep records of tests, training and changes in Appendix C.</w:t>
      </w:r>
    </w:p>
    <w:p>
      <w:pPr>
        <w:pStyle w:val="Heading1"/>
        <w:pageBreakBefore/>
      </w:pPr>
      <w:r>
        <w:t xml:space="preserve">Who must you notify after a cyber incident in the UK, and how fast?</w:t>
      </w:r>
    </w:p>
    <w:p>
      <w:pPr>
        <w:keepNext/>
        <w:spacing w:after="140" w:before="0"/>
      </w:pPr>
      <w:r>
        <w:t xml:space="preserve">It depends on the data and your sector. These are the main deadlines to build into section 7. Check them against the current rules when you review the plan.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2900"/>
        <w:gridCol w:w="2800"/>
        <w:gridCol w:w="1938"/>
      </w:tblGrid>
      <w:tr>
        <w:trPr>
          <w:cantSplit/>
          <w:tblHeader/>
        </w:trPr>
        <w:tc>
          <w:tcPr>
            <w:tcW w:type="dxa" w:w="20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Who</w:t>
            </w:r>
          </w:p>
        </w:tc>
        <w:tc>
          <w:tcPr>
            <w:tcW w:type="dxa" w:w="29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Deadline</w:t>
            </w:r>
          </w:p>
        </w:tc>
        <w:tc>
          <w:tcPr>
            <w:tcW w:type="dxa" w:w="28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When it applies</w:t>
            </w:r>
          </w:p>
        </w:tc>
        <w:tc>
          <w:tcPr>
            <w:tcW w:type="dxa" w:w="19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Source</w:t>
            </w:r>
          </w:p>
        </w:tc>
      </w:tr>
      <w:tr>
        <w:trPr>
          <w:cantSplit/>
        </w:trPr>
        <w:tc>
          <w:tcPr>
            <w:tcW w:type="dxa" w:w="2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ICO</w:t>
            </w:r>
          </w:p>
        </w:tc>
        <w:tc>
          <w:tcPr>
            <w:tcW w:type="dxa" w:w="2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Without undue delay and, where feasible, within 72 hours of becoming aware</w:t>
            </w:r>
          </w:p>
        </w:tc>
        <w:tc>
          <w:tcPr>
            <w:tcW w:type="dxa" w:w="2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Personal data breaches likely to risk people's rights and freedoms</w:t>
            </w:r>
          </w:p>
        </w:tc>
        <w:tc>
          <w:tcPr>
            <w:tcW w:type="dxa" w:w="19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UK GDPR Article 33</w:t>
            </w:r>
          </w:p>
        </w:tc>
      </w:tr>
      <w:tr>
        <w:trPr>
          <w:cantSplit/>
        </w:trPr>
        <w:tc>
          <w:tcPr>
            <w:tcW w:type="dxa" w:w="2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Affected individuals</w:t>
            </w:r>
          </w:p>
        </w:tc>
        <w:tc>
          <w:tcPr>
            <w:tcW w:type="dxa" w:w="2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Without undue delay</w:t>
            </w:r>
          </w:p>
        </w:tc>
        <w:tc>
          <w:tcPr>
            <w:tcW w:type="dxa" w:w="2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Breaches likely to result in a high risk to them</w:t>
            </w:r>
          </w:p>
        </w:tc>
        <w:tc>
          <w:tcPr>
            <w:tcW w:type="dxa" w:w="19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UK GDPR Article 34</w:t>
            </w:r>
          </w:p>
        </w:tc>
      </w:tr>
      <w:tr>
        <w:trPr>
          <w:cantSplit/>
        </w:trPr>
        <w:tc>
          <w:tcPr>
            <w:tcW w:type="dxa" w:w="2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ICO</w:t>
            </w:r>
          </w:p>
        </w:tc>
        <w:tc>
          <w:tcPr>
            <w:tcW w:type="dxa" w:w="2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Within 72 hours of becoming aware (24 hours before 20 August 2025)</w:t>
            </w:r>
          </w:p>
        </w:tc>
        <w:tc>
          <w:tcPr>
            <w:tcW w:type="dxa" w:w="2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Personal data breaches at providers of public electronic communications services</w:t>
            </w:r>
          </w:p>
        </w:tc>
        <w:tc>
          <w:tcPr>
            <w:tcW w:type="dxa" w:w="19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PECR, as amended by the Data (Use and Access) Act 2025</w:t>
            </w:r>
          </w:p>
        </w:tc>
      </w:tr>
      <w:tr>
        <w:trPr>
          <w:cantSplit/>
        </w:trPr>
        <w:tc>
          <w:tcPr>
            <w:tcW w:type="dxa" w:w="2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Acquirer and card brands</w:t>
            </w:r>
          </w:p>
        </w:tc>
        <w:tc>
          <w:tcPr>
            <w:tcW w:type="dxa" w:w="2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As soon as compromise is suspected; the exact deadline is in your merchant agreement and card brand rules</w:t>
            </w:r>
          </w:p>
        </w:tc>
        <w:tc>
          <w:tcPr>
            <w:tcW w:type="dxa" w:w="2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Suspected or confirmed card data compromise</w:t>
            </w:r>
          </w:p>
        </w:tc>
        <w:tc>
          <w:tcPr>
            <w:tcW w:type="dxa" w:w="19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Card brand rules; PCI DSS 12.10.1</w:t>
            </w:r>
          </w:p>
        </w:tc>
      </w:tr>
      <w:tr>
        <w:trPr>
          <w:cantSplit/>
        </w:trPr>
        <w:tc>
          <w:tcPr>
            <w:tcW w:type="dxa" w:w="2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Competent authority</w:t>
            </w:r>
          </w:p>
        </w:tc>
        <w:tc>
          <w:tcPr>
            <w:tcW w:type="dxa" w:w="2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Without undue delay, no later than 72 hours</w:t>
            </w:r>
          </w:p>
        </w:tc>
        <w:tc>
          <w:tcPr>
            <w:tcW w:type="dxa" w:w="2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UK operators of essential services and relevant digital service providers</w:t>
            </w:r>
          </w:p>
        </w:tc>
        <w:tc>
          <w:tcPr>
            <w:tcW w:type="dxa" w:w="19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NIS Regulations 2018</w:t>
            </w:r>
          </w:p>
        </w:tc>
      </w:tr>
      <w:tr>
        <w:trPr>
          <w:cantSplit/>
        </w:trPr>
        <w:tc>
          <w:tcPr>
            <w:tcW w:type="dxa" w:w="2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Regulator and NCSC (proposed)</w:t>
            </w:r>
          </w:p>
        </w:tc>
        <w:tc>
          <w:tcPr>
            <w:tcW w:type="dxa" w:w="2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24-hour initial notice, 72-hour report</w:t>
            </w:r>
          </w:p>
        </w:tc>
        <w:tc>
          <w:tcPr>
            <w:tcW w:type="dxa" w:w="2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Organisations in scope once the Cyber Security and Resilience Bill and its regulations are in force</w:t>
            </w:r>
          </w:p>
        </w:tc>
        <w:tc>
          <w:tcPr>
            <w:tcW w:type="dxa" w:w="19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Bill before Parliament, not yet law</w:t>
            </w:r>
          </w:p>
        </w:tc>
      </w:tr>
      <w:tr>
        <w:trPr>
          <w:cantSplit/>
        </w:trPr>
        <w:tc>
          <w:tcPr>
            <w:tcW w:type="dxa" w:w="2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CSIRT or competent authority</w:t>
            </w:r>
          </w:p>
        </w:tc>
        <w:tc>
          <w:tcPr>
            <w:tcW w:type="dxa" w:w="2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24-hour early warning, 72-hour notification, final report within one month</w:t>
            </w:r>
          </w:p>
        </w:tc>
        <w:tc>
          <w:tcPr>
            <w:tcW w:type="dxa" w:w="2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Organisations in scope of EU NIS2</w:t>
            </w:r>
          </w:p>
        </w:tc>
        <w:tc>
          <w:tcPr>
            <w:tcW w:type="dxa" w:w="19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NIS2 Article 23</w:t>
            </w:r>
          </w:p>
        </w:tc>
      </w:tr>
      <w:tr>
        <w:trPr>
          <w:cantSplit/>
        </w:trPr>
        <w:tc>
          <w:tcPr>
            <w:tcW w:type="dxa" w:w="2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Insurer</w:t>
            </w:r>
          </w:p>
        </w:tc>
        <w:tc>
          <w:tcPr>
            <w:tcW w:type="dxa" w:w="2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As your policy requires</w:t>
            </w:r>
          </w:p>
        </w:tc>
        <w:tc>
          <w:tcPr>
            <w:tcW w:type="dxa" w:w="2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Organisations with cyber insurance</w:t>
            </w:r>
          </w:p>
        </w:tc>
        <w:tc>
          <w:tcPr>
            <w:tcW w:type="dxa" w:w="19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Your policy</w:t>
            </w:r>
          </w:p>
        </w:tc>
      </w:tr>
    </w:tbl>
    <w:p>
      <w:pPr>
        <w:spacing w:after="140" w:before="160"/>
      </w:pPr>
      <w:r>
        <w:t xml:space="preserve">The ICO's report a breach page (</w:t>
      </w:r>
      <w:hyperlink w:history="1" r:id="rIdowebnwavqbkdpsrmlxhcj">
        <w:r>
          <w:rPr>
            <w:rStyle w:val="Hyperlink"/>
          </w:rPr>
          <w:t xml:space="preserve">ico.org.uk/for-organisations/report-a-breach</w:t>
        </w:r>
      </w:hyperlink>
      <w:r>
        <w:t xml:space="preserve">) explains how to notify.</w:t>
      </w:r>
    </w:p>
    <w:p>
      <w:pPr>
        <w:pStyle w:val="Heading1"/>
      </w:pPr>
      <w:r>
        <w:t xml:space="preserve">What extra steps apply to a card data breach?</w:t>
      </w:r>
    </w:p>
    <w:p>
      <w:pPr>
        <w:keepNext/>
        <w:spacing w:after="140" w:before="0"/>
      </w:pPr>
      <w:r>
        <w:t xml:space="preserve">If card data may be compromised, preserve evidence and tell your acquirer straight away. Specifically:</w:t>
      </w:r>
    </w:p>
    <w:p>
      <w:pPr>
        <w:pStyle w:val="ListParagraph"/>
        <w:numPr>
          <w:ilvl w:val="0"/>
          <w:numId w:val="5"/>
        </w:numPr>
        <w:spacing w:after="90"/>
      </w:pPr>
      <w:r>
        <w:rPr>
          <w:b/>
          <w:bCs/>
        </w:rPr>
        <w:t xml:space="preserve">Do not switch off or rebuild</w:t>
      </w:r>
      <w:r>
        <w:t xml:space="preserve"> affected systems; disconnect them from the network instead.</w:t>
      </w:r>
    </w:p>
    <w:p>
      <w:pPr>
        <w:pStyle w:val="ListParagraph"/>
        <w:numPr>
          <w:ilvl w:val="0"/>
          <w:numId w:val="5"/>
        </w:numPr>
        <w:spacing w:after="90"/>
      </w:pPr>
      <w:r>
        <w:rPr>
          <w:b/>
          <w:bCs/>
        </w:rPr>
        <w:t xml:space="preserve">Preserve logs</w:t>
      </w:r>
      <w:r>
        <w:t xml:space="preserve"> from payment systems, firewalls and payment pages.</w:t>
      </w:r>
    </w:p>
    <w:p>
      <w:pPr>
        <w:pStyle w:val="ListParagraph"/>
        <w:numPr>
          <w:ilvl w:val="0"/>
          <w:numId w:val="5"/>
        </w:numPr>
        <w:spacing w:after="90"/>
      </w:pPr>
      <w:r>
        <w:rPr>
          <w:b/>
          <w:bCs/>
        </w:rPr>
        <w:t xml:space="preserve">Notify your acquirer immediately.</w:t>
      </w:r>
      <w:r>
        <w:t xml:space="preserve"> The deadline comes from your merchant agreement and card brand rules, not PCI DSS, which requires your plan to cover notifying payment brands and acquirers and to include their incident procedures.</w:t>
      </w:r>
    </w:p>
    <w:p>
      <w:pPr>
        <w:pStyle w:val="ListParagraph"/>
        <w:numPr>
          <w:ilvl w:val="0"/>
          <w:numId w:val="5"/>
        </w:numPr>
        <w:spacing w:after="90"/>
      </w:pPr>
      <w:r>
        <w:rPr>
          <w:b/>
          <w:bCs/>
        </w:rPr>
        <w:t xml:space="preserve">Expect a forensic investigation.</w:t>
      </w:r>
      <w:r>
        <w:t xml:space="preserve"> The acquirer or card brand may require a PCI Forensic Investigator (PFI), a separate PCI SSC programme.</w:t>
      </w:r>
    </w:p>
    <w:p>
      <w:pPr>
        <w:pStyle w:val="ListParagraph"/>
        <w:numPr>
          <w:ilvl w:val="0"/>
          <w:numId w:val="5"/>
        </w:numPr>
        <w:spacing w:after="90"/>
      </w:pPr>
      <w:r>
        <w:rPr>
          <w:b/>
          <w:bCs/>
        </w:rPr>
        <w:t xml:space="preserve">Run the 12.10.7 procedure</w:t>
      </w:r>
      <w:r>
        <w:t xml:space="preserve"> if card numbers turn up outside the cardholder data environment, such as in logs, email or spreadsheets: retrieve, securely delete or migrate them, check for sensitive authentication data, find how they got there and fix the gap.</w:t>
      </w:r>
    </w:p>
    <w:p>
      <w:pPr>
        <w:pStyle w:val="Heading1"/>
        <w:pageBreakBefore/>
      </w:pPr>
      <w:r>
        <w:t xml:space="preserve">Incident response plan example: a ransomware attack</w:t>
      </w:r>
    </w:p>
    <w:p>
      <w:pPr>
        <w:keepNext/>
        <w:spacing w:after="140" w:before="0"/>
      </w:pPr>
      <w:r>
        <w:t xml:space="preserve">This worked example shows how the plan's sections are used in order when a member of staff finds encrypted files on a Monday morning. The timings show the sequence, not targets to copy; set your own in section 4.</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2300"/>
        <w:gridCol w:w="5638"/>
      </w:tblGrid>
      <w:tr>
        <w:trPr>
          <w:cantSplit/>
          <w:tblHeader/>
        </w:trPr>
        <w:tc>
          <w:tcPr>
            <w:tcW w:type="dxa" w:w="17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When</w:t>
            </w:r>
          </w:p>
        </w:tc>
        <w:tc>
          <w:tcPr>
            <w:tcW w:type="dxa" w:w="23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Plan section</w:t>
            </w:r>
          </w:p>
        </w:tc>
        <w:tc>
          <w:tcPr>
            <w:tcW w:type="dxa" w:w="56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What happens</w:t>
            </w:r>
          </w:p>
        </w:tc>
      </w:tr>
      <w:tr>
        <w:trPr>
          <w:cantSplit/>
        </w:trPr>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First minutes</w:t>
            </w:r>
          </w:p>
        </w:tc>
        <w:tc>
          <w:tcPr>
            <w:tcW w:type="dxa" w:w="2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3. Reporting</w:t>
            </w:r>
          </w:p>
        </w:tc>
        <w:tc>
          <w:tcPr>
            <w:tcW w:type="dxa" w:w="56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The member of staff calls the service desk and leaves the laptop on; the service desk opens the incident log and calls the incident lead</w:t>
            </w:r>
          </w:p>
        </w:tc>
      </w:tr>
      <w:tr>
        <w:trPr>
          <w:cantSplit/>
        </w:trPr>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First hour</w:t>
            </w:r>
          </w:p>
        </w:tc>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4. Severity, 5. Response</w:t>
            </w:r>
          </w:p>
        </w:tc>
        <w:tc>
          <w:tcPr>
            <w:tcW w:type="dxa" w:w="56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The incident lead sets severity to critical, the technical lead isolates affected devices from the network and disables the accounts involved</w:t>
            </w:r>
          </w:p>
        </w:tc>
      </w:tr>
      <w:tr>
        <w:trPr>
          <w:cantSplit/>
        </w:trPr>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First hour</w:t>
            </w:r>
          </w:p>
        </w:tc>
        <w:tc>
          <w:tcPr>
            <w:tcW w:type="dxa" w:w="2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6. Evidence, 7. Communication</w:t>
            </w:r>
          </w:p>
        </w:tc>
        <w:tc>
          <w:tcPr>
            <w:tcW w:type="dxa" w:w="56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Logs are preserved, the team moves to the out-of-band channel, and the executive decision maker calls the insurer</w:t>
            </w:r>
          </w:p>
        </w:tc>
      </w:tr>
      <w:tr>
        <w:trPr>
          <w:cantSplit/>
        </w:trPr>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First 24 hours</w:t>
            </w:r>
          </w:p>
        </w:tc>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7. Notification, 8. Continuity</w:t>
            </w:r>
          </w:p>
        </w:tc>
        <w:tc>
          <w:tcPr>
            <w:tcW w:type="dxa" w:w="56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The data protection lead decides whether personal data is affected, which starts the 72-hour ICO clock; the acquirer is told if card data may be involved; the business continuity plan is invoked for affected services</w:t>
            </w:r>
          </w:p>
        </w:tc>
      </w:tr>
      <w:tr>
        <w:trPr>
          <w:cantSplit/>
        </w:trPr>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Within 72 hours</w:t>
            </w:r>
          </w:p>
        </w:tc>
        <w:tc>
          <w:tcPr>
            <w:tcW w:type="dxa" w:w="2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7. Notification</w:t>
            </w:r>
          </w:p>
        </w:tc>
        <w:tc>
          <w:tcPr>
            <w:tcW w:type="dxa" w:w="56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The ICO report is made if the breach is reportable, with further detail to follow as the investigation continues</w:t>
            </w:r>
          </w:p>
        </w:tc>
      </w:tr>
      <w:tr>
        <w:trPr>
          <w:cantSplit/>
        </w:trPr>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Recovery</w:t>
            </w:r>
          </w:p>
        </w:tc>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5. Response</w:t>
            </w:r>
          </w:p>
        </w:tc>
        <w:tc>
          <w:tcPr>
            <w:tcW w:type="dxa" w:w="56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Systems are rebuilt or restored from backups checked as clean, monitored closely and returned to service with the incident lead's sign-off</w:t>
            </w:r>
          </w:p>
        </w:tc>
      </w:tr>
      <w:tr>
        <w:trPr>
          <w:cantSplit/>
        </w:trPr>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After closure</w:t>
            </w:r>
          </w:p>
        </w:tc>
        <w:tc>
          <w:tcPr>
            <w:tcW w:type="dxa" w:w="2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9. Review</w:t>
            </w:r>
          </w:p>
        </w:tc>
        <w:tc>
          <w:tcPr>
            <w:tcW w:type="dxa" w:w="56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The root cause, actions, owners and dates are recorded, and the plan, risk register and controls are updated</w:t>
            </w:r>
          </w:p>
        </w:tc>
      </w:tr>
    </w:tbl>
    <w:p>
      <w:pPr>
        <w:pStyle w:val="Heading1"/>
      </w:pPr>
      <w:r>
        <w:t xml:space="preserve">How often should the plan be tested?</w:t>
      </w:r>
    </w:p>
    <w:p>
      <w:pPr>
        <w:keepNext/>
        <w:spacing w:after="140" w:before="0"/>
      </w:pPr>
      <w:r>
        <w:t xml:space="preserve">At least once every 12 months for PCI DSS (Requirement 12.10.2), covering every element of 12.10.1, and after significant changes. ISO 27001 sets no fixed frequency, but auditors expect evidence that the plan is prepared, communicated and improved.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blHeader/>
        </w:trPr>
        <w:tc>
          <w:tcPr>
            <w:tcW w:type="dxa" w:w="30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Method</w:t>
            </w:r>
          </w:p>
        </w:tc>
        <w:tc>
          <w:tcPr>
            <w:tcW w:type="dxa" w:w="66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What it tests</w:t>
            </w:r>
          </w:p>
        </w:tc>
      </w:tr>
      <w:tr>
        <w:trPr>
          <w:cantSplit/>
        </w:trPr>
        <w:tc>
          <w:tcPr>
            <w:tcW w:type="dxa" w:w="3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Walkthrough</w:t>
            </w:r>
          </w:p>
        </w:tc>
        <w:tc>
          <w:tcPr>
            <w:tcW w:type="dxa" w:w="66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Contacts, documents and roles are current</w:t>
            </w:r>
          </w:p>
        </w:tc>
      </w:tr>
      <w:tr>
        <w:trPr>
          <w:cantSplit/>
        </w:trPr>
        <w:tc>
          <w:tcPr>
            <w:tcW w:type="dxa" w:w="3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Tabletop exercise</w:t>
            </w:r>
          </w:p>
        </w:tc>
        <w:tc>
          <w:tcPr>
            <w:tcW w:type="dxa" w:w="66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Decisions, escalation and notification timings, using a realistic scenario</w:t>
            </w:r>
          </w:p>
        </w:tc>
      </w:tr>
      <w:tr>
        <w:trPr>
          <w:cantSplit/>
        </w:trPr>
        <w:tc>
          <w:tcPr>
            <w:tcW w:type="dxa" w:w="3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Technical test</w:t>
            </w:r>
          </w:p>
        </w:tc>
        <w:tc>
          <w:tcPr>
            <w:tcW w:type="dxa" w:w="66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Backup restores, isolation steps and log availability</w:t>
            </w:r>
          </w:p>
        </w:tc>
      </w:tr>
      <w:tr>
        <w:trPr>
          <w:cantSplit/>
        </w:trPr>
        <w:tc>
          <w:tcPr>
            <w:tcW w:type="dxa" w:w="3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Red team assessment</w:t>
            </w:r>
          </w:p>
        </w:tc>
        <w:tc>
          <w:tcPr>
            <w:tcW w:type="dxa" w:w="66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Whether a realistic attack is detected and escalated in practice</w:t>
            </w:r>
          </w:p>
        </w:tc>
      </w:tr>
    </w:tbl>
    <w:p>
      <w:pPr>
        <w:spacing w:after="140" w:before="160"/>
        <w:sectPr>
          <w:footerReference w:type="default" r:id="rId6"/>
          <w:pgSz w:w="11906" w:h="16838" w:orient="portrait"/>
          <w:pgMar w:top="1134" w:right="1134" w:bottom="1134" w:left="1134" w:header="708" w:footer="560" w:gutter="0"/>
          <w:pgNumType/>
          <w:docGrid w:linePitch="360"/>
        </w:sectPr>
      </w:pPr>
      <w:r>
        <w:t xml:space="preserve">The NCSC's free Exercise in a Box is a good starting point for small teams.</w:t>
      </w:r>
    </w:p>
    <w:p>
      <w:pPr>
        <w:pStyle w:val="Heading1"/>
      </w:pPr>
      <w:r>
        <w:t xml:space="preserve">Appendix A: Incident log</w:t>
      </w:r>
    </w:p>
    <w:p>
      <w:pPr>
        <w:keepNext/>
        <w:spacing w:after="140" w:before="0"/>
      </w:pPr>
      <w:r>
        <w:t xml:space="preserve">Open a new log for each incident. Record every action with a time, including decisions not to act.</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5000"/>
        <w:gridCol w:w="1700"/>
        <w:gridCol w:w="2200"/>
        <w:gridCol w:w="1200"/>
        <w:gridCol w:w="2670"/>
      </w:tblGrid>
      <w:tr>
        <w:trPr>
          <w:cantSplit/>
          <w:tblHeader/>
        </w:trPr>
        <w:tc>
          <w:tcPr>
            <w:tcW w:type="dxa" w:w="18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Date and time</w:t>
            </w:r>
          </w:p>
        </w:tc>
        <w:tc>
          <w:tcPr>
            <w:tcW w:type="dxa" w:w="50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What happened or action taken</w:t>
            </w:r>
          </w:p>
        </w:tc>
        <w:tc>
          <w:tcPr>
            <w:tcW w:type="dxa" w:w="17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By</w:t>
            </w:r>
          </w:p>
        </w:tc>
        <w:tc>
          <w:tcPr>
            <w:tcW w:type="dxa" w:w="22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Evidence reference</w:t>
            </w:r>
          </w:p>
        </w:tc>
        <w:tc>
          <w:tcPr>
            <w:tcW w:type="dxa" w:w="12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Severity</w:t>
            </w:r>
          </w:p>
        </w:tc>
        <w:tc>
          <w:tcPr>
            <w:tcW w:type="dxa" w:w="267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Notes</w:t>
            </w:r>
          </w:p>
        </w:tc>
      </w:tr>
      <w:tr>
        <w:trPr>
          <w:cantSplit/>
          <w:trHeight w:val="460" w:hRule="atLeast"/>
        </w:trPr>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5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6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60" w:hRule="atLeast"/>
        </w:trPr>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5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6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60" w:hRule="atLeast"/>
        </w:trPr>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5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6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60" w:hRule="atLeast"/>
        </w:trPr>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5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6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60" w:hRule="atLeast"/>
        </w:trPr>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5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6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60" w:hRule="atLeast"/>
        </w:trPr>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5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6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60" w:hRule="atLeast"/>
        </w:trPr>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5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6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60" w:hRule="atLeast"/>
        </w:trPr>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5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6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60" w:hRule="atLeast"/>
        </w:trPr>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5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6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60" w:hRule="atLeast"/>
        </w:trPr>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5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6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60" w:hRule="atLeast"/>
        </w:trPr>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5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6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60" w:hRule="atLeast"/>
        </w:trPr>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5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6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bl>
    <w:p>
      <w:pPr>
        <w:pStyle w:val="Heading1"/>
        <w:pageBreakBefore/>
      </w:pPr>
      <w:r>
        <w:t xml:space="preserve">Appendix B: Notification record</w:t>
      </w:r>
    </w:p>
    <w:p>
      <w:pPr>
        <w:keepNext/>
        <w:spacing w:after="140" w:before="0"/>
      </w:pPr>
      <w:r>
        <w:t xml:space="preserve">Record each external notification: whether it was required, the deadline and when it was sent.</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3800"/>
        <w:gridCol w:w="1900"/>
        <w:gridCol w:w="1900"/>
        <w:gridCol w:w="1800"/>
        <w:gridCol w:w="2570"/>
      </w:tblGrid>
      <w:tr>
        <w:trPr>
          <w:cantSplit/>
          <w:tblHeader/>
        </w:trPr>
        <w:tc>
          <w:tcPr>
            <w:tcW w:type="dxa" w:w="2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Who</w:t>
            </w:r>
          </w:p>
        </w:tc>
        <w:tc>
          <w:tcPr>
            <w:tcW w:type="dxa" w:w="38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Required? Why or why not</w:t>
            </w:r>
          </w:p>
        </w:tc>
        <w:tc>
          <w:tcPr>
            <w:tcW w:type="dxa" w:w="19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Deadline</w:t>
            </w:r>
          </w:p>
        </w:tc>
        <w:tc>
          <w:tcPr>
            <w:tcW w:type="dxa" w:w="19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Sent at</w:t>
            </w:r>
          </w:p>
        </w:tc>
        <w:tc>
          <w:tcPr>
            <w:tcW w:type="dxa" w:w="18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Sent by</w:t>
            </w:r>
          </w:p>
        </w:tc>
        <w:tc>
          <w:tcPr>
            <w:tcW w:type="dxa" w:w="257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Reference or case number</w:t>
            </w:r>
          </w:p>
        </w:tc>
      </w:tr>
      <w:tr>
        <w:trPr>
          <w:cantSplit/>
          <w:trHeight w:val="520" w:hRule="atLeast"/>
        </w:trPr>
        <w:tc>
          <w:tcPr>
            <w:tcW w:type="dxa" w:w="2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ICO</w:t>
            </w:r>
          </w:p>
        </w:tc>
        <w:tc>
          <w:tcPr>
            <w:tcW w:type="dxa" w:w="3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5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520" w:hRule="atLeast"/>
        </w:trPr>
        <w:tc>
          <w:tcPr>
            <w:tcW w:type="dxa" w:w="2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Affected individuals</w:t>
            </w:r>
          </w:p>
        </w:tc>
        <w:tc>
          <w:tcPr>
            <w:tcW w:type="dxa" w:w="3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5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520" w:hRule="atLeast"/>
        </w:trPr>
        <w:tc>
          <w:tcPr>
            <w:tcW w:type="dxa" w:w="2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Acquirer and card brands</w:t>
            </w:r>
          </w:p>
        </w:tc>
        <w:tc>
          <w:tcPr>
            <w:tcW w:type="dxa" w:w="3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5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520" w:hRule="atLeast"/>
        </w:trPr>
        <w:tc>
          <w:tcPr>
            <w:tcW w:type="dxa" w:w="2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Regulator or competent authority</w:t>
            </w:r>
          </w:p>
        </w:tc>
        <w:tc>
          <w:tcPr>
            <w:tcW w:type="dxa" w:w="3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5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520" w:hRule="atLeast"/>
        </w:trPr>
        <w:tc>
          <w:tcPr>
            <w:tcW w:type="dxa" w:w="2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Insurer</w:t>
            </w:r>
          </w:p>
        </w:tc>
        <w:tc>
          <w:tcPr>
            <w:tcW w:type="dxa" w:w="3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5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520" w:hRule="atLeast"/>
        </w:trPr>
        <w:tc>
          <w:tcPr>
            <w:tcW w:type="dxa" w:w="2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Customers</w:t>
            </w:r>
          </w:p>
        </w:tc>
        <w:tc>
          <w:tcPr>
            <w:tcW w:type="dxa" w:w="3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5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520" w:hRule="atLeast"/>
        </w:trPr>
        <w:tc>
          <w:tcPr>
            <w:tcW w:type="dxa" w:w="2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highlight w:val="yellow"/>
              </w:rPr>
              <w:t xml:space="preserve">[Other]</w:t>
            </w:r>
          </w:p>
        </w:tc>
        <w:tc>
          <w:tcPr>
            <w:tcW w:type="dxa" w:w="3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5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bl>
    <w:p>
      <w:pPr>
        <w:pStyle w:val="Heading1"/>
        <w:pageBreakBefore/>
      </w:pPr>
      <w:r>
        <w:t xml:space="preserve">Appendix C: Testing and training record</w:t>
      </w:r>
    </w:p>
    <w:p>
      <w:pPr>
        <w:keepNext/>
        <w:spacing w:after="140" w:before="0"/>
      </w:pPr>
      <w:r>
        <w:t xml:space="preserve">Keep a record of each test and training session. PCI DSS asks for testing at least every 12 months (12.10.2) and periodic training for incident response personnel (12.10.4).</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1600"/>
        <w:gridCol w:w="2600"/>
        <w:gridCol w:w="2200"/>
        <w:gridCol w:w="2800"/>
        <w:gridCol w:w="2970"/>
        <w:gridCol w:w="1100"/>
      </w:tblGrid>
      <w:tr>
        <w:trPr>
          <w:cantSplit/>
          <w:tblHeader/>
        </w:trPr>
        <w:tc>
          <w:tcPr>
            <w:tcW w:type="dxa" w:w="13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Date</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Type</w:t>
            </w:r>
          </w:p>
        </w:tc>
        <w:tc>
          <w:tcPr>
            <w:tcW w:type="dxa" w:w="2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Scenario or topic</w:t>
            </w:r>
          </w:p>
        </w:tc>
        <w:tc>
          <w:tcPr>
            <w:tcW w:type="dxa" w:w="22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Participants</w:t>
            </w:r>
          </w:p>
        </w:tc>
        <w:tc>
          <w:tcPr>
            <w:tcW w:type="dxa" w:w="28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Findings</w:t>
            </w:r>
          </w:p>
        </w:tc>
        <w:tc>
          <w:tcPr>
            <w:tcW w:type="dxa" w:w="297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Actions, owners and dates</w:t>
            </w:r>
          </w:p>
        </w:tc>
        <w:tc>
          <w:tcPr>
            <w:tcW w:type="dxa" w:w="11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Closed</w:t>
            </w:r>
          </w:p>
        </w:tc>
      </w:tr>
      <w:tr>
        <w:trPr>
          <w:cantSplit/>
          <w:trHeight w:val="560" w:hRule="atLeast"/>
        </w:trPr>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9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560" w:hRule="atLeast"/>
        </w:trPr>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9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560" w:hRule="atLeast"/>
        </w:trPr>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9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560" w:hRule="atLeast"/>
        </w:trPr>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9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560" w:hRule="atLeast"/>
        </w:trPr>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9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560" w:hRule="atLeast"/>
        </w:trPr>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9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560" w:hRule="atLeast"/>
        </w:trPr>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9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560" w:hRule="atLeast"/>
        </w:trPr>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9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bl>
    <w:sectPr>
      <w:footerReference w:type="default" r:id="rId7"/>
      <w:type w:val="nextPage"/>
      <w:pgSz w:w="16838" w:h="11906" w:orient="landscape"/>
      <w:pgMar w:top="1134" w:right="1134" w:bottom="1134" w:left="1134" w:header="708" w:footer="5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2840" w:sz="6" w:space="6"/>
      </w:pBdr>
      <w:spacing w:after="0" w:before="0"/>
    </w:pPr>
    <w:r>
      <w:rPr>
        <w:color w:val="5B6770"/>
        <w:sz w:val="16"/>
        <w:szCs w:val="16"/>
      </w:rPr>
      <w:t xml:space="preserve">Incident response plan template  |  Sovereign Secure Ltd  |  sovereignsecure.co.uk</w:t>
    </w:r>
    <w:r>
      <w:ptab w:alignment="right" w:relativeTo="margin" w:leader="none"/>
    </w:r>
    <w:r>
      <w:rPr>
        <w:color w:val="5B6770"/>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2840" w:sz="6" w:space="6"/>
      </w:pBdr>
      <w:spacing w:after="0" w:before="0"/>
    </w:pPr>
    <w:r>
      <w:rPr>
        <w:color w:val="5B6770"/>
        <w:sz w:val="16"/>
        <w:szCs w:val="16"/>
      </w:rPr>
      <w:t xml:space="preserve">Incident response plan template  |  Sovereign Secure Ltd  |  sovereignsecure.co.uk</w:t>
    </w:r>
    <w:r>
      <w:ptab w:alignment="right" w:relativeTo="margin" w:leader="none"/>
    </w:r>
    <w:r>
      <w:rPr>
        <w:color w:val="5B6770"/>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rPr>
        <w:color w:val="E02840"/>
      </w:rPr>
    </w:lvl>
  </w:abstractNum>
  <w:abstractNum w:abstractNumId="3" w15:restartNumberingAfterBreak="0">
    <w:multiLevelType w:val="hybridMultilevel"/>
    <w:lvl w:ilvl="0" w:tentative="1">
      <w:start w:val="1"/>
      <w:numFmt w:val="decimal"/>
      <w:lvlText w:val="%1."/>
      <w:lvlJc w:val="left"/>
      <w:pPr>
        <w:ind w:left="400" w:hanging="320"/>
      </w:pPr>
      <w:rPr>
        <w:b/>
        <w:bCs/>
        <w:color w:val="102838"/>
      </w:rPr>
    </w:lvl>
  </w:abstractNum>
  <w:abstractNum w:abstractNumId="4" w15:restartNumberingAfterBreak="0">
    <w:multiLevelType w:val="hybridMultilevel"/>
    <w:lvl w:ilvl="0" w:tentative="1">
      <w:start w:val="1"/>
      <w:numFmt w:val="decimal"/>
      <w:lvlText w:val="%1."/>
      <w:lvlJc w:val="left"/>
      <w:pPr>
        <w:ind w:left="400" w:hanging="320"/>
      </w:pPr>
      <w:rPr>
        <w:b/>
        <w:bCs/>
        <w:color w:val="102838"/>
      </w:rPr>
    </w:lvl>
  </w:abstractNum>
  <w:abstractNum w:abstractNumId="5" w15:restartNumberingAfterBreak="0">
    <w:multiLevelType w:val="hybridMultilevel"/>
    <w:lvl w:ilvl="0" w:tentative="1">
      <w:start w:val="1"/>
      <w:numFmt w:val="decimal"/>
      <w:lvlText w:val="%1."/>
      <w:lvlJc w:val="left"/>
      <w:pPr>
        <w:ind w:left="400" w:hanging="320"/>
      </w:pPr>
      <w:rPr>
        <w:b/>
        <w:bCs/>
        <w:color w:val="102838"/>
      </w:r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2"/>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A33"/>
        <w:sz w:val="21"/>
        <w:szCs w:val="21"/>
        <w:lang w:val="en-GB"/>
      </w:rPr>
    </w:rPrDefault>
    <w:pPrDefault>
      <w:pPr>
        <w:spacing w:after="140" w:line="264"/>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60" w:before="360"/>
      <w:outlineLvl w:val="0"/>
    </w:pPr>
    <w:rPr>
      <w:rFonts w:ascii="Calibri" w:cs="Calibri" w:eastAsia="Calibri" w:hAnsi="Calibri"/>
      <w:b/>
      <w:bCs/>
      <w:color w:val="102838"/>
      <w:sz w:val="32"/>
      <w:szCs w:val="32"/>
    </w:rPr>
  </w:style>
  <w:style w:type="paragraph" w:styleId="Heading2">
    <w:name w:val="Heading 2"/>
    <w:basedOn w:val="Normal"/>
    <w:next w:val="Normal"/>
    <w:qFormat/>
    <w:pPr>
      <w:keepNext/>
      <w:keepLines/>
      <w:spacing w:after="100" w:before="260"/>
      <w:outlineLvl w:val="1"/>
    </w:pPr>
    <w:rPr>
      <w:rFonts w:ascii="Calibri" w:cs="Calibri" w:eastAsia="Calibri" w:hAnsi="Calibri"/>
      <w:b/>
      <w:bCs/>
      <w:color w:val="102838"/>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e9koz7jr6togbylvepl2k" Type="http://schemas.openxmlformats.org/officeDocument/2006/relationships/hyperlink" Target="https://sovereignsecure.co.uk/" TargetMode="External"/><Relationship Id="rId1fm_mkbqpwgqiuxxs_eeh" Type="http://schemas.openxmlformats.org/officeDocument/2006/relationships/hyperlink" Target="https://sovereignsecure.co.uk/incident-response-plan-template/" TargetMode="External"/><Relationship Id="rIdlhdyt4h_ero_8h2p39thm" Type="http://schemas.openxmlformats.org/officeDocument/2006/relationships/hyperlink" Target="https://www.pcisecuritystandards.org/document_library/" TargetMode="External"/><Relationship Id="rIdactljhrlhlx_tobhox4su" Type="http://schemas.openxmlformats.org/officeDocument/2006/relationships/hyperlink" Target="https://www.ncsc.gov.uk/collection/incident-management" TargetMode="External"/><Relationship Id="rIdsq9zi3tmqw6bscs5igpwx" Type="http://schemas.openxmlformats.org/officeDocument/2006/relationships/hyperlink" Target="https://sovereignsecure.co.uk/incident-response-plan-template/" TargetMode="External"/><Relationship Id="rIdpluph1oqfolqvxq_p__bn" Type="http://schemas.openxmlformats.org/officeDocument/2006/relationships/hyperlink" Target="https://sovereignsecure.co.uk/business-continuity-plan-template/" TargetMode="External"/><Relationship Id="rIdowebnwavqbkdpsrmlxhcj" Type="http://schemas.openxmlformats.org/officeDocument/2006/relationships/hyperlink" Target="https://ico.org.uk/for-organisations/report-a-breach/" TargetMode="External"/><Relationship Id="rId16" Type="http://schemas.openxmlformats.org/officeDocument/2006/relationships/image" Target="media/728fc2a3bf8c8af21db16c83d499e1c1a95b6c0f.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Response Plan Template</dc:title>
  <dc:subject>Cyber incident response plan template mapped to PCI DSS 12.10 and ISO/IEC 27001:2022</dc:subject>
  <dc:creator>Sovereign Secure Ltd</dc:creator>
  <cp:keywords>incident response plan template, cyber incident response plan, PCI DSS 12.10, ISO 27001, security incident management</cp:keywords>
  <dc:description>Free incident response plan template from sovereignsecure.co.uk, version October 2026.</dc:description>
  <cp:lastModifiedBy>Sovereign Secure Ltd</cp:lastModifiedBy>
  <cp:revision>1</cp:revision>
  <dcterms:created xsi:type="dcterms:W3CDTF">2026-10-13T11:20:56.982Z</dcterms:created>
  <dcterms:modified xsi:type="dcterms:W3CDTF">2026-10-13T11:20:56.983Z</dcterms:modified>
</cp:coreProperties>
</file>

<file path=docProps/custom.xml><?xml version="1.0" encoding="utf-8"?>
<Properties xmlns="http://schemas.openxmlformats.org/officeDocument/2006/custom-properties" xmlns:vt="http://schemas.openxmlformats.org/officeDocument/2006/docPropsVTypes"/>
</file>