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80" w:before="0"/>
      </w:pPr>
      <w:r>
        <w:drawing>
          <wp:inline distT="0" distB="0" distL="0" distR="0">
            <wp:extent cx="2095500" cy="552450"/>
            <wp:effectExtent t="0" r="0" b="0" l="0"/>
            <wp:docPr id="1" name="Sovereign Secure logo" descr="Sovereign Secure logo" title="Sovereign Sec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80"/>
      </w:pPr>
      <w:r>
        <w:rPr>
          <w:b/>
          <w:bCs/>
          <w:color w:val="E02840"/>
          <w:spacing w:val="20"/>
          <w:sz w:val="20"/>
          <w:szCs w:val="20"/>
        </w:rPr>
        <w:t xml:space="preserve">FREE TEMPLATE FOR SMALL BUSINESSES</w:t>
      </w:r>
    </w:p>
    <w:p>
      <w:pPr>
        <w:spacing w:after="120"/>
      </w:pPr>
      <w:r>
        <w:rPr>
          <w:b/>
          <w:bCs/>
          <w:color w:val="102838"/>
          <w:sz w:val="52"/>
          <w:szCs w:val="52"/>
        </w:rPr>
        <w:t xml:space="preserve">Cyber Security Policy Template</w:t>
      </w:r>
    </w:p>
    <w:p>
      <w:pPr>
        <w:spacing w:after="120"/>
      </w:pPr>
      <w:r>
        <w:rPr>
          <w:color w:val="5B6770"/>
          <w:sz w:val="24"/>
          <w:szCs w:val="24"/>
        </w:rPr>
        <w:t xml:space="preserve">A 12-section IT security policy for organisations without a security team, mapped to the five Cyber Essentials controls</w:t>
      </w:r>
    </w:p>
    <w:p>
      <w:pPr>
        <w:pBdr>
          <w:bottom w:val="single" w:color="E02840" w:sz="18" w:space="1"/>
        </w:pBdr>
        <w:spacing w:after="240" w:before="0"/>
      </w:pPr>
    </w:p>
    <w:p>
      <w:pPr>
        <w:spacing w:after="60"/>
      </w:pPr>
      <w:r>
        <w:rPr>
          <w:b/>
          <w:bCs/>
          <w:color w:val="E02840"/>
        </w:rPr>
        <w:t xml:space="preserve">Version  </w:t>
      </w:r>
      <w:r>
        <w:t xml:space="preserve">October 2026</w:t>
      </w:r>
    </w:p>
    <w:p>
      <w:pPr>
        <w:spacing w:after="60"/>
      </w:pPr>
      <w:r>
        <w:rPr>
          <w:b/>
          <w:bCs/>
          <w:color w:val="E02840"/>
        </w:rPr>
        <w:t xml:space="preserve">Published by  </w:t>
      </w:r>
      <w:r>
        <w:t xml:space="preserve">Sovereign Secure Ltd, </w:t>
      </w:r>
      <w:hyperlink w:history="1" r:id="rIdpxocrjp4_cfcfm55abvy3">
        <w:r>
          <w:rPr>
            <w:rStyle w:val="Hyperlink"/>
          </w:rPr>
          <w:t xml:space="preserve">sovereignsecure.co.uk</w:t>
        </w:r>
      </w:hyperlink>
    </w:p>
    <w:p>
      <w:pPr>
        <w:spacing w:after="360"/>
      </w:pPr>
      <w:r>
        <w:rPr>
          <w:b/>
          <w:bCs/>
          <w:color w:val="E02840"/>
        </w:rPr>
        <w:t xml:space="preserve">Help  </w:t>
      </w:r>
      <w:r>
        <w:t xml:space="preserve">+44 161 523 5276  |  contactus@sovereignsecure.co.uk</w:t>
      </w:r>
    </w:p>
    <w:p>
      <w:pPr>
        <w:pStyle w:val="Heading1"/>
      </w:pPr>
      <w:r>
        <w:t xml:space="preserve">About this template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300"/>
        <w:gridCol w:w="7338"/>
      </w:tblGrid>
      <w:tr>
        <w:trPr>
          <w:cantSplit/>
        </w:trPr>
        <w:tc>
          <w:tcPr>
            <w:tcW w:type="dxa" w:w="2300"/>
            <w:tcBorders>
              <w:top w:val="single" w:color="D6D3CA" w:sz="4"/>
              <w:left w:val="single" w:color="D6D3CA" w:sz="4"/>
              <w:bottom w:val="single" w:color="D6D3CA" w:sz="4"/>
              <w:right w:val="single" w:color="D6D3CA" w:sz="4"/>
            </w:tcBorders>
            <w:shd w:fill="F4F3E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b/>
                <w:bCs/>
                <w:color w:val="102838"/>
                <w:sz w:val="20"/>
                <w:szCs w:val="20"/>
              </w:rPr>
              <w:t xml:space="preserve">What it is</w:t>
            </w:r>
          </w:p>
        </w:tc>
        <w:tc>
          <w:tcPr>
            <w:tcW w:type="dxa" w:w="7338"/>
            <w:tcBorders>
              <w:top w:val="single" w:color="D6D3CA" w:sz="4"/>
              <w:left w:val="single" w:color="D6D3CA" w:sz="4"/>
              <w:bottom w:val="single" w:color="D6D3CA" w:sz="4"/>
              <w:right w:val="single" w:color="D6D3C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sz w:val="20"/>
                <w:szCs w:val="20"/>
              </w:rPr>
              <w:t xml:space="preserve">A free, editable cyber security policy template for small and medium-sized organisations. Its 12 short sections set the rules for accounts, passwords, devices, software updates, firewalls, malware protection, data, incidents and suppliers. It accompanies our template page at </w:t>
            </w:r>
            <w:hyperlink w:history="1" r:id="rId-tu8skawtz_s_sbwiga6x">
              <w:r>
                <w:rPr>
                  <w:rStyle w:val="Hyperlink"/>
                  <w:sz w:val="20"/>
                  <w:szCs w:val="20"/>
                </w:rPr>
                <w:t xml:space="preserve">sovereignsecure.co.uk/cyber-security-policy-template/</w:t>
              </w:r>
            </w:hyperlink>
            <w:r>
              <w:rPr>
                <w:sz w:val="20"/>
                <w:szCs w:val="20"/>
              </w:rPr>
              <w:t xml:space="preserve">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D6D3CA" w:sz="4"/>
              <w:left w:val="single" w:color="D6D3CA" w:sz="4"/>
              <w:bottom w:val="single" w:color="D6D3CA" w:sz="4"/>
              <w:right w:val="single" w:color="D6D3CA" w:sz="4"/>
            </w:tcBorders>
            <w:shd w:fill="F4F3E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b/>
                <w:bCs/>
                <w:color w:val="102838"/>
                <w:sz w:val="20"/>
                <w:szCs w:val="20"/>
              </w:rPr>
              <w:t xml:space="preserve">What is inside</w:t>
            </w:r>
          </w:p>
        </w:tc>
        <w:tc>
          <w:tcPr>
            <w:tcW w:type="dxa" w:w="7338"/>
            <w:tcBorders>
              <w:top w:val="single" w:color="D6D3CA" w:sz="4"/>
              <w:left w:val="single" w:color="D6D3CA" w:sz="4"/>
              <w:bottom w:val="single" w:color="D6D3CA" w:sz="4"/>
              <w:right w:val="single" w:color="D6D3C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60" w:before="0"/>
            </w:pPr>
            <w:r>
              <w:rPr>
                <w:sz w:val="20"/>
                <w:szCs w:val="20"/>
              </w:rPr>
              <w:t xml:space="preserve">Part A: the cyber security policy, with document control</w:t>
            </w:r>
          </w:p>
          <w:p>
            <w:pPr>
              <w:spacing w:after="60" w:before="0"/>
            </w:pPr>
            <w:r>
              <w:rPr>
                <w:sz w:val="20"/>
                <w:szCs w:val="20"/>
              </w:rPr>
              <w:t xml:space="preserve">Part B: how each section maps to the five Cyber Essentials controls</w:t>
            </w:r>
          </w:p>
          <w:p>
            <w:pPr>
              <w:spacing w:after="60" w:before="0"/>
            </w:pPr>
            <w:r>
              <w:rPr>
                <w:sz w:val="20"/>
                <w:szCs w:val="20"/>
              </w:rPr>
              <w:t xml:space="preserve">Part C: staff acknowledgement record</w:t>
            </w:r>
          </w:p>
          <w:p>
            <w:pPr>
              <w:spacing w:after="60" w:before="0"/>
            </w:pPr>
            <w:r>
              <w:rPr>
                <w:sz w:val="20"/>
                <w:szCs w:val="20"/>
              </w:rPr>
              <w:t xml:space="preserve">Part D: checks before you apply for Cyber Essentials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D6D3CA" w:sz="4"/>
              <w:left w:val="single" w:color="D6D3CA" w:sz="4"/>
              <w:bottom w:val="single" w:color="D6D3CA" w:sz="4"/>
              <w:right w:val="single" w:color="D6D3CA" w:sz="4"/>
            </w:tcBorders>
            <w:shd w:fill="F4F3E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b/>
                <w:bCs/>
                <w:color w:val="102838"/>
                <w:sz w:val="20"/>
                <w:szCs w:val="20"/>
              </w:rPr>
              <w:t xml:space="preserve">Version</w:t>
            </w:r>
          </w:p>
        </w:tc>
        <w:tc>
          <w:tcPr>
            <w:tcW w:type="dxa" w:w="7338"/>
            <w:tcBorders>
              <w:top w:val="single" w:color="D6D3CA" w:sz="4"/>
              <w:left w:val="single" w:color="D6D3CA" w:sz="4"/>
              <w:bottom w:val="single" w:color="D6D3CA" w:sz="4"/>
              <w:right w:val="single" w:color="D6D3C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sz w:val="20"/>
                <w:szCs w:val="20"/>
              </w:rPr>
              <w:t xml:space="preserve">October 2026. Sections 4 to 9 follow the NCSC Requirements for IT Infrastructure v3.3, the current Cyber Essentials standard.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D6D3CA" w:sz="4"/>
              <w:left w:val="single" w:color="D6D3CA" w:sz="4"/>
              <w:bottom w:val="single" w:color="D6D3CA" w:sz="4"/>
              <w:right w:val="single" w:color="D6D3CA" w:sz="4"/>
            </w:tcBorders>
            <w:shd w:fill="F4F3E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b/>
                <w:bCs/>
                <w:color w:val="102838"/>
                <w:sz w:val="20"/>
                <w:szCs w:val="20"/>
              </w:rPr>
              <w:t xml:space="preserve">Licence</w:t>
            </w:r>
          </w:p>
        </w:tc>
        <w:tc>
          <w:tcPr>
            <w:tcW w:type="dxa" w:w="7338"/>
            <w:tcBorders>
              <w:top w:val="single" w:color="D6D3CA" w:sz="4"/>
              <w:left w:val="single" w:color="D6D3CA" w:sz="4"/>
              <w:bottom w:val="single" w:color="D6D3CA" w:sz="4"/>
              <w:right w:val="single" w:color="D6D3C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sz w:val="20"/>
                <w:szCs w:val="20"/>
              </w:rPr>
              <w:t xml:space="preserve">Free to use and adapt within your organisation.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D6D3CA" w:sz="4"/>
              <w:left w:val="single" w:color="D6D3CA" w:sz="4"/>
              <w:bottom w:val="single" w:color="D6D3CA" w:sz="4"/>
              <w:right w:val="single" w:color="D6D3CA" w:sz="4"/>
            </w:tcBorders>
            <w:shd w:fill="F4F3E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b/>
                <w:bCs/>
                <w:color w:val="102838"/>
                <w:sz w:val="20"/>
                <w:szCs w:val="20"/>
              </w:rPr>
              <w:t xml:space="preserve">Not a certificate</w:t>
            </w:r>
          </w:p>
        </w:tc>
        <w:tc>
          <w:tcPr>
            <w:tcW w:type="dxa" w:w="7338"/>
            <w:tcBorders>
              <w:top w:val="single" w:color="D6D3CA" w:sz="4"/>
              <w:left w:val="single" w:color="D6D3CA" w:sz="4"/>
              <w:bottom w:val="single" w:color="D6D3CA" w:sz="4"/>
              <w:right w:val="single" w:color="D6D3C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sz w:val="20"/>
                <w:szCs w:val="20"/>
              </w:rPr>
              <w:t xml:space="preserve">A policy supports Cyber Essentials certification but does not guarantee it. The assessment checks how your devices, accounts and cloud services are actually set up, not what the policy says.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D6D3CA" w:sz="4"/>
              <w:left w:val="single" w:color="D6D3CA" w:sz="4"/>
              <w:bottom w:val="single" w:color="D6D3CA" w:sz="4"/>
              <w:right w:val="single" w:color="D6D3CA" w:sz="4"/>
            </w:tcBorders>
            <w:shd w:fill="F4F3E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b/>
                <w:bCs/>
                <w:color w:val="102838"/>
                <w:sz w:val="20"/>
                <w:szCs w:val="20"/>
              </w:rPr>
              <w:t xml:space="preserve">Getting help</w:t>
            </w:r>
          </w:p>
        </w:tc>
        <w:tc>
          <w:tcPr>
            <w:tcW w:type="dxa" w:w="7338"/>
            <w:tcBorders>
              <w:top w:val="single" w:color="D6D3CA" w:sz="4"/>
              <w:left w:val="single" w:color="D6D3CA" w:sz="4"/>
              <w:bottom w:val="single" w:color="D6D3CA" w:sz="4"/>
              <w:right w:val="single" w:color="D6D3C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sz w:val="20"/>
                <w:szCs w:val="20"/>
              </w:rPr>
              <w:t xml:space="preserve">Sovereign Secure Ltd is an IASME-licensed certification body for Cyber Essentials and Cyber Essentials Plus. Test your readiness with our free check at </w:t>
            </w:r>
            <w:hyperlink w:history="1" r:id="rIdqdtbqacneuisiyuum_nqc">
              <w:r>
                <w:rPr>
                  <w:rStyle w:val="Hyperlink"/>
                  <w:sz w:val="20"/>
                  <w:szCs w:val="20"/>
                </w:rPr>
                <w:t xml:space="preserve">sovereignsecure.co.uk/cyber-essentials-readiness-check/</w:t>
              </w:r>
            </w:hyperlink>
            <w:r>
              <w:rPr>
                <w:sz w:val="20"/>
                <w:szCs w:val="20"/>
              </w:rPr>
              <w:t xml:space="preserve">, or call +44 161 523 5276.</w:t>
            </w:r>
          </w:p>
        </w:tc>
      </w:tr>
    </w:tbl>
    <w:p>
      <w:pPr>
        <w:pStyle w:val="Heading1"/>
        <w:pageBreakBefore/>
      </w:pPr>
      <w:r>
        <w:t xml:space="preserve">How to use this template</w:t>
      </w:r>
    </w:p>
    <w:p>
      <w:pPr>
        <w:pStyle w:val="ListParagraph"/>
        <w:numPr>
          <w:ilvl w:val="0"/>
          <w:numId w:val="2"/>
        </w:numPr>
        <w:spacing w:after="90"/>
      </w:pPr>
      <w:r>
        <w:t xml:space="preserve">Copy Part A into your own document, or edit it here. Replace everything in </w:t>
      </w:r>
      <w:r>
        <w:rPr>
          <w:highlight w:val="yellow"/>
        </w:rPr>
        <w:t xml:space="preserve">[square brackets]</w:t>
      </w:r>
      <w:r>
        <w:t xml:space="preserve"> and delete anything that does not apply. Placeholders are highlighted so none are missed; remove the highlight once each is filled in.</w:t>
      </w:r>
    </w:p>
    <w:p>
      <w:pPr>
        <w:pStyle w:val="ListParagraph"/>
        <w:numPr>
          <w:ilvl w:val="0"/>
          <w:numId w:val="2"/>
        </w:numPr>
        <w:spacing w:after="90"/>
      </w:pPr>
      <w:r>
        <w:t xml:space="preserve">Numbers in square brackets, such as </w:t>
      </w:r>
      <w:r>
        <w:rPr>
          <w:highlight w:val="yellow"/>
        </w:rPr>
        <w:t xml:space="preserve">[12]</w:t>
      </w:r>
      <w:r>
        <w:t xml:space="preserve"> characters or </w:t>
      </w:r>
      <w:r>
        <w:rPr>
          <w:highlight w:val="yellow"/>
        </w:rPr>
        <w:t xml:space="preserve">[5]</w:t>
      </w:r>
      <w:r>
        <w:t xml:space="preserve"> minutes, are suggestions. Change them only to values that still meet the Cyber Essentials requirements.</w:t>
      </w:r>
    </w:p>
    <w:p>
      <w:pPr>
        <w:pStyle w:val="ListParagraph"/>
        <w:numPr>
          <w:ilvl w:val="0"/>
          <w:numId w:val="2"/>
        </w:numPr>
        <w:spacing w:after="90"/>
      </w:pPr>
      <w:r>
        <w:t xml:space="preserve">Keep it short. A few pages of plain rules people can follow is enough for most small businesses.</w:t>
      </w:r>
    </w:p>
    <w:p>
      <w:pPr>
        <w:pStyle w:val="ListParagraph"/>
        <w:numPr>
          <w:ilvl w:val="0"/>
          <w:numId w:val="2"/>
        </w:numPr>
        <w:spacing w:after="90"/>
      </w:pPr>
      <w:r>
        <w:t xml:space="preserve">Delete the guidance notes, these instructions and the Sovereign Secure footer before you issue the policy.</w:t>
      </w:r>
    </w:p>
    <w:p>
      <w:pPr>
        <w:pStyle w:val="Heading2"/>
      </w:pPr>
      <w:r>
        <w:t xml:space="preserve">Put the policy into practice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b/>
          <w:bCs/>
        </w:rPr>
        <w:t xml:space="preserve">Check the rules against reality.</w:t>
      </w:r>
      <w:r>
        <w:t xml:space="preserve"> If MFA is not on everywhere yet, fix that first.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b/>
          <w:bCs/>
        </w:rPr>
        <w:t xml:space="preserve">Approve it.</w:t>
      </w:r>
      <w:r>
        <w:t xml:space="preserve"> A director signs and dates it.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b/>
          <w:bCs/>
        </w:rPr>
        <w:t xml:space="preserve">Brief your team</w:t>
      </w:r>
      <w:r>
        <w:t xml:space="preserve"> and ask each person to confirm they have read it, using the record in Part C.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b/>
          <w:bCs/>
        </w:rPr>
        <w:t xml:space="preserve">Diary the review</w:t>
      </w:r>
      <w:r>
        <w:t xml:space="preserve">, and update the policy after any new cloud service, IT provider or incident.</w:t>
      </w:r>
    </w:p>
    <w:p>
      <w:pPr>
        <w:spacing w:after="140" w:before="120"/>
      </w:pPr>
      <w:r>
        <w:t xml:space="preserve">If personal data is in scope, the policy also helps show the appropriate security that UK GDPR expects; the ICO's </w:t>
      </w:r>
      <w:hyperlink w:history="1" r:id="rIdtgbq8ptzh4r_lbl5v6uhr">
        <w:r>
          <w:rPr>
            <w:rStyle w:val="Hyperlink"/>
          </w:rPr>
          <w:t xml:space="preserve">guide to data security</w:t>
        </w:r>
      </w:hyperlink>
      <w:r>
        <w:t xml:space="preserve"> explains what it looks for.</w:t>
      </w:r>
    </w:p>
    <w:p>
      <w:pPr>
        <w:pStyle w:val="Heading1"/>
        <w:pageBreakBefore/>
      </w:pPr>
      <w:r>
        <w:t xml:space="preserve">Part A: Cyber security policy template</w:t>
      </w:r>
    </w:p>
    <w:p>
      <w:pPr>
        <w:pBdr>
          <w:top w:val="single" w:color="F4F3EF" w:sz="4" w:space="4"/>
          <w:left w:val="single" w:color="E02840" w:sz="24" w:space="8"/>
          <w:bottom w:val="single" w:color="F4F3EF" w:sz="4" w:space="4"/>
        </w:pBdr>
        <w:shd w:fill="F4F3EF" w:color="auto" w:val="clear"/>
        <w:spacing w:after="220" w:before="120"/>
        <w:ind w:left="200" w:right="120"/>
      </w:pPr>
      <w:r>
        <w:rPr>
          <w:b/>
          <w:bCs/>
          <w:color w:val="E02840"/>
        </w:rPr>
        <w:t xml:space="preserve">Guidance: </w:t>
      </w:r>
      <w:r>
        <w:t xml:space="preserve">Copy this into your own document, replace everything in </w:t>
      </w:r>
      <w:r>
        <w:rPr>
          <w:highlight w:val="yellow"/>
        </w:rPr>
        <w:t xml:space="preserve">[square brackets]</w:t>
      </w:r>
      <w:r>
        <w:t xml:space="preserve"> and remove anything that does not apply. Sections 4 to 9 follow the NCSC Requirements for IT Infrastructure v3.3 (</w:t>
      </w:r>
      <w:hyperlink w:history="1" r:id="rId5rk1nav0g5ml7kdiizkak">
        <w:r>
          <w:rPr>
            <w:rStyle w:val="Hyperlink"/>
          </w:rPr>
          <w:t xml:space="preserve">ncsc.gov.uk/cyberessentials/resources</w:t>
        </w:r>
      </w:hyperlink>
      <w:r>
        <w:t xml:space="preserve">).</w:t>
      </w:r>
    </w:p>
    <w:p>
      <w:pPr>
        <w:keepNext/>
        <w:spacing w:after="200" w:before="120"/>
      </w:pPr>
      <w:r>
        <w:rPr>
          <w:b/>
          <w:bCs/>
          <w:color w:val="102838"/>
          <w:sz w:val="32"/>
          <w:szCs w:val="32"/>
          <w:highlight w:val="yellow"/>
        </w:rPr>
        <w:t xml:space="preserve">[Organisation name]</w:t>
      </w:r>
      <w:r>
        <w:rPr>
          <w:b/>
          <w:bCs/>
          <w:color w:val="102838"/>
          <w:sz w:val="32"/>
          <w:szCs w:val="32"/>
        </w:rPr>
        <w:t xml:space="preserve"> Cyber Security Policy</w:t>
      </w:r>
    </w:p>
    <w:p>
      <w:pPr>
        <w:pStyle w:val="Heading2"/>
      </w:pPr>
      <w:r>
        <w:t xml:space="preserve">Document control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100"/>
        <w:gridCol w:w="1700"/>
        <w:gridCol w:w="1900"/>
        <w:gridCol w:w="1600"/>
        <w:gridCol w:w="1600"/>
        <w:gridCol w:w="1738"/>
      </w:tblGrid>
      <w:tr>
        <w:trPr>
          <w:cantSplit/>
          <w:tblHeader/>
        </w:trPr>
        <w:tc>
          <w:tcPr>
            <w:tcW w:type="dxa" w:w="1100"/>
            <w:tcBorders>
              <w:top w:val="single" w:color="102838" w:sz="4"/>
              <w:left w:val="single" w:color="102838" w:sz="4"/>
              <w:bottom w:val="single" w:color="102838" w:sz="4"/>
              <w:right w:val="single" w:color="102838" w:sz="4"/>
            </w:tcBorders>
            <w:shd w:fill="10283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Version</w:t>
            </w:r>
          </w:p>
        </w:tc>
        <w:tc>
          <w:tcPr>
            <w:tcW w:type="dxa" w:w="1700"/>
            <w:tcBorders>
              <w:top w:val="single" w:color="102838" w:sz="4"/>
              <w:left w:val="single" w:color="102838" w:sz="4"/>
              <w:bottom w:val="single" w:color="102838" w:sz="4"/>
              <w:right w:val="single" w:color="102838" w:sz="4"/>
            </w:tcBorders>
            <w:shd w:fill="10283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Owner</w:t>
            </w:r>
          </w:p>
        </w:tc>
        <w:tc>
          <w:tcPr>
            <w:tcW w:type="dxa" w:w="1900"/>
            <w:tcBorders>
              <w:top w:val="single" w:color="102838" w:sz="4"/>
              <w:left w:val="single" w:color="102838" w:sz="4"/>
              <w:bottom w:val="single" w:color="102838" w:sz="4"/>
              <w:right w:val="single" w:color="102838" w:sz="4"/>
            </w:tcBorders>
            <w:shd w:fill="10283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Approved by</w:t>
            </w:r>
          </w:p>
        </w:tc>
        <w:tc>
          <w:tcPr>
            <w:tcW w:type="dxa" w:w="1600"/>
            <w:tcBorders>
              <w:top w:val="single" w:color="102838" w:sz="4"/>
              <w:left w:val="single" w:color="102838" w:sz="4"/>
              <w:bottom w:val="single" w:color="102838" w:sz="4"/>
              <w:right w:val="single" w:color="102838" w:sz="4"/>
            </w:tcBorders>
            <w:shd w:fill="10283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Approval date</w:t>
            </w:r>
          </w:p>
        </w:tc>
        <w:tc>
          <w:tcPr>
            <w:tcW w:type="dxa" w:w="1600"/>
            <w:tcBorders>
              <w:top w:val="single" w:color="102838" w:sz="4"/>
              <w:left w:val="single" w:color="102838" w:sz="4"/>
              <w:bottom w:val="single" w:color="102838" w:sz="4"/>
              <w:right w:val="single" w:color="102838" w:sz="4"/>
            </w:tcBorders>
            <w:shd w:fill="10283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Next review</w:t>
            </w:r>
          </w:p>
        </w:tc>
        <w:tc>
          <w:tcPr>
            <w:tcW w:type="dxa" w:w="1738"/>
            <w:tcBorders>
              <w:top w:val="single" w:color="102838" w:sz="4"/>
              <w:left w:val="single" w:color="102838" w:sz="4"/>
              <w:bottom w:val="single" w:color="102838" w:sz="4"/>
              <w:right w:val="single" w:color="102838" w:sz="4"/>
            </w:tcBorders>
            <w:shd w:fill="10283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Classification</w:t>
            </w:r>
          </w:p>
        </w:tc>
      </w:tr>
      <w:tr>
        <w:trPr>
          <w:cantSplit/>
        </w:trPr>
        <w:tc>
          <w:tcPr>
            <w:tcW w:type="dxa" w:w="1100"/>
            <w:tcBorders>
              <w:top w:val="single" w:color="D6D3CA" w:sz="4"/>
              <w:left w:val="single" w:color="D6D3CA" w:sz="4"/>
              <w:bottom w:val="single" w:color="D6D3CA" w:sz="4"/>
              <w:right w:val="single" w:color="D6D3C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sz w:val="20"/>
                <w:szCs w:val="20"/>
                <w:highlight w:val="yellow"/>
              </w:rPr>
              <w:t xml:space="preserve">[x]</w:t>
            </w:r>
          </w:p>
        </w:tc>
        <w:tc>
          <w:tcPr>
            <w:tcW w:type="dxa" w:w="1700"/>
            <w:tcBorders>
              <w:top w:val="single" w:color="D6D3CA" w:sz="4"/>
              <w:left w:val="single" w:color="D6D3CA" w:sz="4"/>
              <w:bottom w:val="single" w:color="D6D3CA" w:sz="4"/>
              <w:right w:val="single" w:color="D6D3C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sz w:val="20"/>
                <w:szCs w:val="20"/>
                <w:highlight w:val="yellow"/>
              </w:rPr>
              <w:t xml:space="preserve">[policy owner]</w:t>
            </w:r>
          </w:p>
        </w:tc>
        <w:tc>
          <w:tcPr>
            <w:tcW w:type="dxa" w:w="1900"/>
            <w:tcBorders>
              <w:top w:val="single" w:color="D6D3CA" w:sz="4"/>
              <w:left w:val="single" w:color="D6D3CA" w:sz="4"/>
              <w:bottom w:val="single" w:color="D6D3CA" w:sz="4"/>
              <w:right w:val="single" w:color="D6D3C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sz w:val="20"/>
                <w:szCs w:val="20"/>
                <w:highlight w:val="yellow"/>
              </w:rPr>
              <w:t xml:space="preserve">[name, role]</w:t>
            </w:r>
          </w:p>
        </w:tc>
        <w:tc>
          <w:tcPr>
            <w:tcW w:type="dxa" w:w="1600"/>
            <w:tcBorders>
              <w:top w:val="single" w:color="D6D3CA" w:sz="4"/>
              <w:left w:val="single" w:color="D6D3CA" w:sz="4"/>
              <w:bottom w:val="single" w:color="D6D3CA" w:sz="4"/>
              <w:right w:val="single" w:color="D6D3C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sz w:val="20"/>
                <w:szCs w:val="20"/>
                <w:highlight w:val="yellow"/>
              </w:rPr>
              <w:t xml:space="preserve">[date]</w:t>
            </w:r>
          </w:p>
        </w:tc>
        <w:tc>
          <w:tcPr>
            <w:tcW w:type="dxa" w:w="1600"/>
            <w:tcBorders>
              <w:top w:val="single" w:color="D6D3CA" w:sz="4"/>
              <w:left w:val="single" w:color="D6D3CA" w:sz="4"/>
              <w:bottom w:val="single" w:color="D6D3CA" w:sz="4"/>
              <w:right w:val="single" w:color="D6D3C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sz w:val="20"/>
                <w:szCs w:val="20"/>
                <w:highlight w:val="yellow"/>
              </w:rPr>
              <w:t xml:space="preserve">[date]</w:t>
            </w:r>
          </w:p>
        </w:tc>
        <w:tc>
          <w:tcPr>
            <w:tcW w:type="dxa" w:w="1738"/>
            <w:tcBorders>
              <w:top w:val="single" w:color="D6D3CA" w:sz="4"/>
              <w:left w:val="single" w:color="D6D3CA" w:sz="4"/>
              <w:bottom w:val="single" w:color="D6D3CA" w:sz="4"/>
              <w:right w:val="single" w:color="D6D3C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sz w:val="20"/>
                <w:szCs w:val="20"/>
                <w:highlight w:val="yellow"/>
              </w:rPr>
              <w:t xml:space="preserve">[Internal]</w:t>
            </w:r>
          </w:p>
        </w:tc>
      </w:tr>
    </w:tbl>
    <w:p>
      <w:pPr>
        <w:spacing w:after="160" w:before="0"/>
      </w:pPr>
    </w:p>
    <w:p>
      <w:pPr>
        <w:keepNext/>
        <w:spacing w:after="80" w:before="0"/>
      </w:pPr>
      <w:r>
        <w:rPr>
          <w:b/>
          <w:bCs/>
        </w:rPr>
        <w:t xml:space="preserve">Version history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100"/>
        <w:gridCol w:w="1600"/>
        <w:gridCol w:w="2200"/>
        <w:gridCol w:w="4738"/>
      </w:tblGrid>
      <w:tr>
        <w:trPr>
          <w:cantSplit/>
          <w:tblHeader/>
        </w:trPr>
        <w:tc>
          <w:tcPr>
            <w:tcW w:type="dxa" w:w="1100"/>
            <w:tcBorders>
              <w:top w:val="single" w:color="102838" w:sz="4"/>
              <w:left w:val="single" w:color="102838" w:sz="4"/>
              <w:bottom w:val="single" w:color="102838" w:sz="4"/>
              <w:right w:val="single" w:color="102838" w:sz="4"/>
            </w:tcBorders>
            <w:shd w:fill="10283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Version</w:t>
            </w:r>
          </w:p>
        </w:tc>
        <w:tc>
          <w:tcPr>
            <w:tcW w:type="dxa" w:w="1600"/>
            <w:tcBorders>
              <w:top w:val="single" w:color="102838" w:sz="4"/>
              <w:left w:val="single" w:color="102838" w:sz="4"/>
              <w:bottom w:val="single" w:color="102838" w:sz="4"/>
              <w:right w:val="single" w:color="102838" w:sz="4"/>
            </w:tcBorders>
            <w:shd w:fill="10283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Date</w:t>
            </w:r>
          </w:p>
        </w:tc>
        <w:tc>
          <w:tcPr>
            <w:tcW w:type="dxa" w:w="2200"/>
            <w:tcBorders>
              <w:top w:val="single" w:color="102838" w:sz="4"/>
              <w:left w:val="single" w:color="102838" w:sz="4"/>
              <w:bottom w:val="single" w:color="102838" w:sz="4"/>
              <w:right w:val="single" w:color="102838" w:sz="4"/>
            </w:tcBorders>
            <w:shd w:fill="10283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Author</w:t>
            </w:r>
          </w:p>
        </w:tc>
        <w:tc>
          <w:tcPr>
            <w:tcW w:type="dxa" w:w="4738"/>
            <w:tcBorders>
              <w:top w:val="single" w:color="102838" w:sz="4"/>
              <w:left w:val="single" w:color="102838" w:sz="4"/>
              <w:bottom w:val="single" w:color="102838" w:sz="4"/>
              <w:right w:val="single" w:color="102838" w:sz="4"/>
            </w:tcBorders>
            <w:shd w:fill="10283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Summary of changes</w:t>
            </w:r>
          </w:p>
        </w:tc>
      </w:tr>
      <w:tr>
        <w:trPr>
          <w:cantSplit/>
        </w:trPr>
        <w:tc>
          <w:tcPr>
            <w:tcW w:type="dxa" w:w="1100"/>
            <w:tcBorders>
              <w:top w:val="single" w:color="D6D3CA" w:sz="4"/>
              <w:left w:val="single" w:color="D6D3CA" w:sz="4"/>
              <w:bottom w:val="single" w:color="D6D3CA" w:sz="4"/>
              <w:right w:val="single" w:color="D6D3C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sz w:val="20"/>
                <w:szCs w:val="20"/>
                <w:highlight w:val="yellow"/>
              </w:rPr>
              <w:t xml:space="preserve">[1.0]</w:t>
            </w:r>
          </w:p>
        </w:tc>
        <w:tc>
          <w:tcPr>
            <w:tcW w:type="dxa" w:w="1600"/>
            <w:tcBorders>
              <w:top w:val="single" w:color="D6D3CA" w:sz="4"/>
              <w:left w:val="single" w:color="D6D3CA" w:sz="4"/>
              <w:bottom w:val="single" w:color="D6D3CA" w:sz="4"/>
              <w:right w:val="single" w:color="D6D3C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sz w:val="20"/>
                <w:szCs w:val="20"/>
                <w:highlight w:val="yellow"/>
              </w:rPr>
              <w:t xml:space="preserve">[date]</w:t>
            </w:r>
          </w:p>
        </w:tc>
        <w:tc>
          <w:tcPr>
            <w:tcW w:type="dxa" w:w="2200"/>
            <w:tcBorders>
              <w:top w:val="single" w:color="D6D3CA" w:sz="4"/>
              <w:left w:val="single" w:color="D6D3CA" w:sz="4"/>
              <w:bottom w:val="single" w:color="D6D3CA" w:sz="4"/>
              <w:right w:val="single" w:color="D6D3C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sz w:val="20"/>
                <w:szCs w:val="20"/>
                <w:highlight w:val="yellow"/>
              </w:rPr>
              <w:t xml:space="preserve">[name]</w:t>
            </w:r>
          </w:p>
        </w:tc>
        <w:tc>
          <w:tcPr>
            <w:tcW w:type="dxa" w:w="4738"/>
            <w:tcBorders>
              <w:top w:val="single" w:color="D6D3CA" w:sz="4"/>
              <w:left w:val="single" w:color="D6D3CA" w:sz="4"/>
              <w:bottom w:val="single" w:color="D6D3CA" w:sz="4"/>
              <w:right w:val="single" w:color="D6D3C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sz w:val="20"/>
                <w:szCs w:val="20"/>
                <w:highlight w:val="yellow"/>
              </w:rPr>
              <w:t xml:space="preserve">[First issue]</w:t>
            </w:r>
          </w:p>
        </w:tc>
      </w:tr>
      <w:tr>
        <w:trPr>
          <w:cantSplit/>
        </w:trPr>
        <w:tc>
          <w:tcPr>
            <w:tcW w:type="dxa" w:w="1100"/>
            <w:tcBorders>
              <w:top w:val="single" w:color="D6D3CA" w:sz="4"/>
              <w:left w:val="single" w:color="D6D3CA" w:sz="4"/>
              <w:bottom w:val="single" w:color="D6D3CA" w:sz="4"/>
              <w:right w:val="single" w:color="D6D3CA" w:sz="4"/>
            </w:tcBorders>
            <w:shd w:fill="F4F3E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</w:p>
        </w:tc>
        <w:tc>
          <w:tcPr>
            <w:tcW w:type="dxa" w:w="1600"/>
            <w:tcBorders>
              <w:top w:val="single" w:color="D6D3CA" w:sz="4"/>
              <w:left w:val="single" w:color="D6D3CA" w:sz="4"/>
              <w:bottom w:val="single" w:color="D6D3CA" w:sz="4"/>
              <w:right w:val="single" w:color="D6D3CA" w:sz="4"/>
            </w:tcBorders>
            <w:shd w:fill="F4F3E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</w:p>
        </w:tc>
        <w:tc>
          <w:tcPr>
            <w:tcW w:type="dxa" w:w="2200"/>
            <w:tcBorders>
              <w:top w:val="single" w:color="D6D3CA" w:sz="4"/>
              <w:left w:val="single" w:color="D6D3CA" w:sz="4"/>
              <w:bottom w:val="single" w:color="D6D3CA" w:sz="4"/>
              <w:right w:val="single" w:color="D6D3CA" w:sz="4"/>
            </w:tcBorders>
            <w:shd w:fill="F4F3E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</w:p>
        </w:tc>
        <w:tc>
          <w:tcPr>
            <w:tcW w:type="dxa" w:w="4738"/>
            <w:tcBorders>
              <w:top w:val="single" w:color="D6D3CA" w:sz="4"/>
              <w:left w:val="single" w:color="D6D3CA" w:sz="4"/>
              <w:bottom w:val="single" w:color="D6D3CA" w:sz="4"/>
              <w:right w:val="single" w:color="D6D3CA" w:sz="4"/>
            </w:tcBorders>
            <w:shd w:fill="F4F3E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</w:p>
        </w:tc>
      </w:tr>
      <w:tr>
        <w:trPr>
          <w:cantSplit/>
        </w:trPr>
        <w:tc>
          <w:tcPr>
            <w:tcW w:type="dxa" w:w="1100"/>
            <w:tcBorders>
              <w:top w:val="single" w:color="D6D3CA" w:sz="4"/>
              <w:left w:val="single" w:color="D6D3CA" w:sz="4"/>
              <w:bottom w:val="single" w:color="D6D3CA" w:sz="4"/>
              <w:right w:val="single" w:color="D6D3C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</w:p>
        </w:tc>
        <w:tc>
          <w:tcPr>
            <w:tcW w:type="dxa" w:w="1600"/>
            <w:tcBorders>
              <w:top w:val="single" w:color="D6D3CA" w:sz="4"/>
              <w:left w:val="single" w:color="D6D3CA" w:sz="4"/>
              <w:bottom w:val="single" w:color="D6D3CA" w:sz="4"/>
              <w:right w:val="single" w:color="D6D3C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</w:p>
        </w:tc>
        <w:tc>
          <w:tcPr>
            <w:tcW w:type="dxa" w:w="2200"/>
            <w:tcBorders>
              <w:top w:val="single" w:color="D6D3CA" w:sz="4"/>
              <w:left w:val="single" w:color="D6D3CA" w:sz="4"/>
              <w:bottom w:val="single" w:color="D6D3CA" w:sz="4"/>
              <w:right w:val="single" w:color="D6D3C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</w:p>
        </w:tc>
        <w:tc>
          <w:tcPr>
            <w:tcW w:type="dxa" w:w="4738"/>
            <w:tcBorders>
              <w:top w:val="single" w:color="D6D3CA" w:sz="4"/>
              <w:left w:val="single" w:color="D6D3CA" w:sz="4"/>
              <w:bottom w:val="single" w:color="D6D3CA" w:sz="4"/>
              <w:right w:val="single" w:color="D6D3C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</w:p>
        </w:tc>
      </w:tr>
    </w:tbl>
    <w:p>
      <w:pPr>
        <w:pStyle w:val="Heading2"/>
      </w:pPr>
      <w:r>
        <w:t xml:space="preserve">1. Purpose and scope</w:t>
      </w:r>
    </w:p>
    <w:p>
      <w:pPr>
        <w:pStyle w:val="ListParagraph"/>
        <w:numPr>
          <w:ilvl w:val="0"/>
          <w:numId w:val="2"/>
        </w:numPr>
        <w:spacing w:after="90"/>
      </w:pPr>
      <w:r>
        <w:t xml:space="preserve">This policy sets out how </w:t>
      </w:r>
      <w:r>
        <w:rPr>
          <w:highlight w:val="yellow"/>
        </w:rPr>
        <w:t xml:space="preserve">[Organisation name]</w:t>
      </w:r>
      <w:r>
        <w:t xml:space="preserve"> protects its information, its systems and the personal data it holds.</w:t>
      </w:r>
    </w:p>
    <w:p>
      <w:pPr>
        <w:pStyle w:val="ListParagraph"/>
        <w:numPr>
          <w:ilvl w:val="0"/>
          <w:numId w:val="2"/>
        </w:numPr>
        <w:spacing w:after="90"/>
      </w:pPr>
      <w:r>
        <w:t xml:space="preserve">It applies to all staff, directors, contractors and volunteers, and to every device, account and cloud service used for our work, including personal devices that access company email or data.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highlight w:val="yellow"/>
        </w:rPr>
        <w:t xml:space="preserve">[Policy owner]</w:t>
      </w:r>
      <w:r>
        <w:t xml:space="preserve"> owns this policy, approved by </w:t>
      </w:r>
      <w:r>
        <w:rPr>
          <w:highlight w:val="yellow"/>
        </w:rPr>
        <w:t xml:space="preserve">[director name]</w:t>
      </w:r>
      <w:r>
        <w:t xml:space="preserve"> on </w:t>
      </w:r>
      <w:r>
        <w:rPr>
          <w:highlight w:val="yellow"/>
        </w:rPr>
        <w:t xml:space="preserve">[date]</w:t>
      </w:r>
      <w:r>
        <w:t xml:space="preserve">.</w:t>
      </w:r>
    </w:p>
    <w:p>
      <w:pPr>
        <w:pStyle w:val="Heading2"/>
      </w:pPr>
      <w:r>
        <w:t xml:space="preserve">2. Roles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highlight w:val="yellow"/>
        </w:rPr>
        <w:t xml:space="preserve">[Policy owner]</w:t>
      </w:r>
      <w:r>
        <w:t xml:space="preserve"> keeps this policy up to date and makes sure it is followed.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highlight w:val="yellow"/>
        </w:rPr>
        <w:t xml:space="preserve">[IT lead or IT provider]</w:t>
      </w:r>
      <w:r>
        <w:t xml:space="preserve"> manages devices, accounts and security settings in line with it.</w:t>
      </w:r>
    </w:p>
    <w:p>
      <w:pPr>
        <w:pStyle w:val="ListParagraph"/>
        <w:numPr>
          <w:ilvl w:val="0"/>
          <w:numId w:val="2"/>
        </w:numPr>
        <w:spacing w:after="90"/>
      </w:pPr>
      <w:r>
        <w:t xml:space="preserve">Everyone it covers must follow it and report anything that looks wrong.</w:t>
      </w:r>
    </w:p>
    <w:p>
      <w:pPr>
        <w:pStyle w:val="Heading2"/>
      </w:pPr>
      <w:r>
        <w:t xml:space="preserve">3. Acceptable use</w:t>
      </w:r>
    </w:p>
    <w:p>
      <w:pPr>
        <w:pStyle w:val="ListParagraph"/>
        <w:numPr>
          <w:ilvl w:val="0"/>
          <w:numId w:val="2"/>
        </w:numPr>
        <w:spacing w:after="90"/>
      </w:pPr>
      <w:r>
        <w:t xml:space="preserve">Company devices, email and accounts are for work. </w:t>
      </w:r>
      <w:r>
        <w:rPr>
          <w:highlight w:val="yellow"/>
        </w:rPr>
        <w:t xml:space="preserve">[Limited personal use is allowed / is not allowed.]</w:t>
      </w:r>
    </w:p>
    <w:p>
      <w:pPr>
        <w:pStyle w:val="ListParagraph"/>
        <w:numPr>
          <w:ilvl w:val="0"/>
          <w:numId w:val="2"/>
        </w:numPr>
        <w:spacing w:after="90"/>
      </w:pPr>
      <w:r>
        <w:t xml:space="preserve">Do not install software, browser extensions or apps that </w:t>
      </w:r>
      <w:r>
        <w:rPr>
          <w:highlight w:val="yellow"/>
        </w:rPr>
        <w:t xml:space="preserve">[IT lead]</w:t>
      </w:r>
      <w:r>
        <w:t xml:space="preserve"> has not approved.</w:t>
      </w:r>
    </w:p>
    <w:p>
      <w:pPr>
        <w:pStyle w:val="ListParagraph"/>
        <w:numPr>
          <w:ilvl w:val="0"/>
          <w:numId w:val="2"/>
        </w:numPr>
        <w:spacing w:after="90"/>
      </w:pPr>
      <w:r>
        <w:t xml:space="preserve">Never share your login details, including with colleagues or anyone claiming to be from IT.</w:t>
      </w:r>
    </w:p>
    <w:p>
      <w:pPr>
        <w:pStyle w:val="Heading2"/>
      </w:pPr>
      <w:r>
        <w:t xml:space="preserve">4. Accounts and access</w:t>
      </w:r>
    </w:p>
    <w:p>
      <w:pPr>
        <w:pStyle w:val="ListParagraph"/>
        <w:numPr>
          <w:ilvl w:val="0"/>
          <w:numId w:val="2"/>
        </w:numPr>
        <w:spacing w:after="90"/>
      </w:pPr>
      <w:r>
        <w:t xml:space="preserve">Accounts are created only after approval by </w:t>
      </w:r>
      <w:r>
        <w:rPr>
          <w:highlight w:val="yellow"/>
        </w:rPr>
        <w:t xml:space="preserve">[role]</w:t>
      </w:r>
      <w:r>
        <w:t xml:space="preserve">. Everyone has their own account; shared logins are not allowed.</w:t>
      </w:r>
    </w:p>
    <w:p>
      <w:pPr>
        <w:pStyle w:val="ListParagraph"/>
        <w:numPr>
          <w:ilvl w:val="0"/>
          <w:numId w:val="2"/>
        </w:numPr>
        <w:spacing w:after="90"/>
      </w:pPr>
      <w:r>
        <w:t xml:space="preserve">People get access only to the systems and data their role needs.</w:t>
      </w:r>
    </w:p>
    <w:p>
      <w:pPr>
        <w:pStyle w:val="ListParagraph"/>
        <w:numPr>
          <w:ilvl w:val="0"/>
          <w:numId w:val="2"/>
        </w:numPr>
        <w:spacing w:after="90"/>
      </w:pPr>
      <w:r>
        <w:t xml:space="preserve">Administrator accounts are separate from everyday accounts and are used only for admin tasks, never for email or web browsing.</w:t>
      </w:r>
    </w:p>
    <w:p>
      <w:pPr>
        <w:pStyle w:val="ListParagraph"/>
        <w:numPr>
          <w:ilvl w:val="0"/>
          <w:numId w:val="2"/>
        </w:numPr>
        <w:spacing w:after="90"/>
      </w:pPr>
      <w:r>
        <w:t xml:space="preserve">Accounts are disabled by </w:t>
      </w:r>
      <w:r>
        <w:rPr>
          <w:highlight w:val="yellow"/>
        </w:rPr>
        <w:t xml:space="preserve">[the person's last working day]</w:t>
      </w:r>
      <w:r>
        <w:t xml:space="preserve">, and access is removed when someone changes role and no longer needs it.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highlight w:val="yellow"/>
        </w:rPr>
        <w:t xml:space="preserve">[IT lead]</w:t>
      </w:r>
      <w:r>
        <w:t xml:space="preserve"> reviews all accounts, including admin and supplier accounts, every </w:t>
      </w:r>
      <w:r>
        <w:rPr>
          <w:highlight w:val="yellow"/>
        </w:rPr>
        <w:t xml:space="preserve">[three months]</w:t>
      </w:r>
      <w:r>
        <w:t xml:space="preserve">.</w:t>
      </w:r>
    </w:p>
    <w:p>
      <w:pPr>
        <w:pStyle w:val="Heading2"/>
      </w:pPr>
      <w:r>
        <w:t xml:space="preserve">5. Passwords and multi-factor authentication</w:t>
      </w:r>
    </w:p>
    <w:p>
      <w:pPr>
        <w:pStyle w:val="ListParagraph"/>
        <w:numPr>
          <w:ilvl w:val="0"/>
          <w:numId w:val="2"/>
        </w:numPr>
        <w:spacing w:after="90"/>
      </w:pPr>
      <w:r>
        <w:t xml:space="preserve">Multi-factor authentication (MFA) is switched on for every cloud service and for any other service that offers it.</w:t>
      </w:r>
    </w:p>
    <w:p>
      <w:pPr>
        <w:pStyle w:val="ListParagraph"/>
        <w:numPr>
          <w:ilvl w:val="0"/>
          <w:numId w:val="2"/>
        </w:numPr>
        <w:spacing w:after="90"/>
      </w:pPr>
      <w:r>
        <w:t xml:space="preserve">Passwords are at least </w:t>
      </w:r>
      <w:r>
        <w:rPr>
          <w:highlight w:val="yellow"/>
        </w:rPr>
        <w:t xml:space="preserve">[12]</w:t>
      </w:r>
      <w:r>
        <w:t xml:space="preserve"> characters, or at least 8 where MFA is on. There is no maximum length and no forced regular changes.</w:t>
      </w:r>
    </w:p>
    <w:p>
      <w:pPr>
        <w:pStyle w:val="ListParagraph"/>
        <w:numPr>
          <w:ilvl w:val="0"/>
          <w:numId w:val="2"/>
        </w:numPr>
        <w:spacing w:after="90"/>
      </w:pPr>
      <w:r>
        <w:t xml:space="preserve">Use a different password for every work account. We recommend </w:t>
      </w:r>
      <w:r>
        <w:rPr>
          <w:highlight w:val="yellow"/>
        </w:rPr>
        <w:t xml:space="preserve">[password manager]</w:t>
      </w:r>
      <w:r>
        <w:t xml:space="preserve"> and three random words.</w:t>
      </w:r>
    </w:p>
    <w:p>
      <w:pPr>
        <w:pStyle w:val="ListParagraph"/>
        <w:numPr>
          <w:ilvl w:val="0"/>
          <w:numId w:val="2"/>
        </w:numPr>
        <w:spacing w:after="90"/>
      </w:pPr>
      <w:r>
        <w:t xml:space="preserve">Change a password straight away if you think someone else knows it, and tell </w:t>
      </w:r>
      <w:r>
        <w:rPr>
          <w:highlight w:val="yellow"/>
        </w:rPr>
        <w:t xml:space="preserve">[IT lead]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90"/>
      </w:pPr>
      <w:r>
        <w:t xml:space="preserve">Accounts lock after no more than 10 failed attempts, or allow no more than 10 guesses in 5 minutes.</w:t>
      </w:r>
    </w:p>
    <w:p>
      <w:pPr>
        <w:pBdr>
          <w:top w:val="single" w:color="F4F3EF" w:sz="4" w:space="4"/>
          <w:left w:val="single" w:color="E02840" w:sz="24" w:space="8"/>
          <w:bottom w:val="single" w:color="F4F3EF" w:sz="4" w:space="4"/>
        </w:pBdr>
        <w:shd w:fill="F4F3EF" w:color="auto" w:val="clear"/>
        <w:spacing w:after="220" w:before="120"/>
        <w:ind w:left="200" w:right="120"/>
      </w:pPr>
      <w:r>
        <w:rPr>
          <w:b/>
          <w:bCs/>
          <w:color w:val="E02840"/>
        </w:rPr>
        <w:t xml:space="preserve">Guidance: </w:t>
      </w:r>
      <w:r>
        <w:t xml:space="preserve">Our Cyber Essentials password policy guide at </w:t>
      </w:r>
      <w:hyperlink w:history="1" r:id="rIdpolyrykzxxhe-hdpwdcim">
        <w:r>
          <w:rPr>
            <w:rStyle w:val="Hyperlink"/>
          </w:rPr>
          <w:t xml:space="preserve">sovereignsecure.co.uk/cyber-essentials-password-policy/</w:t>
        </w:r>
      </w:hyperlink>
      <w:r>
        <w:t xml:space="preserve"> explains each rule, including the option of 8 characters with a block list of common passwords.</w:t>
      </w:r>
    </w:p>
    <w:p>
      <w:pPr>
        <w:pStyle w:val="Heading2"/>
      </w:pPr>
      <w:r>
        <w:t xml:space="preserve">6. Devices and secure configuration</w:t>
      </w:r>
    </w:p>
    <w:p>
      <w:pPr>
        <w:pStyle w:val="ListParagraph"/>
        <w:numPr>
          <w:ilvl w:val="0"/>
          <w:numId w:val="2"/>
        </w:numPr>
        <w:spacing w:after="90"/>
      </w:pPr>
      <w:r>
        <w:t xml:space="preserve">Only devices approved by </w:t>
      </w:r>
      <w:r>
        <w:rPr>
          <w:highlight w:val="yellow"/>
        </w:rPr>
        <w:t xml:space="preserve">[IT lead]</w:t>
      </w:r>
      <w:r>
        <w:t xml:space="preserve"> may access company data, and each is recorded in our device list.</w:t>
      </w:r>
    </w:p>
    <w:p>
      <w:pPr>
        <w:pStyle w:val="ListParagraph"/>
        <w:numPr>
          <w:ilvl w:val="0"/>
          <w:numId w:val="2"/>
        </w:numPr>
        <w:spacing w:after="90"/>
      </w:pPr>
      <w:r>
        <w:t xml:space="preserve">Before use, default passwords are changed, auto-run is switched off and unused software, accounts and services are removed.</w:t>
      </w:r>
    </w:p>
    <w:p>
      <w:pPr>
        <w:pStyle w:val="ListParagraph"/>
        <w:numPr>
          <w:ilvl w:val="0"/>
          <w:numId w:val="2"/>
        </w:numPr>
        <w:spacing w:after="90"/>
      </w:pPr>
      <w:r>
        <w:t xml:space="preserve">Devices lock after </w:t>
      </w:r>
      <w:r>
        <w:rPr>
          <w:highlight w:val="yellow"/>
        </w:rPr>
        <w:t xml:space="preserve">[5]</w:t>
      </w:r>
      <w:r>
        <w:t xml:space="preserve"> minutes and need a password or PIN of at least 6 characters, or a fingerprint or face, to unlock. They lock out, or slow down guessing, after no more than 10 wrong attempts.</w:t>
      </w:r>
    </w:p>
    <w:p>
      <w:pPr>
        <w:pStyle w:val="ListParagraph"/>
        <w:numPr>
          <w:ilvl w:val="0"/>
          <w:numId w:val="2"/>
        </w:numPr>
        <w:spacing w:after="90"/>
      </w:pPr>
      <w:r>
        <w:t xml:space="preserve">Personal devices may access </w:t>
      </w:r>
      <w:r>
        <w:rPr>
          <w:highlight w:val="yellow"/>
        </w:rPr>
        <w:t xml:space="preserve">[company email / named apps]</w:t>
      </w:r>
      <w:r>
        <w:t xml:space="preserve"> only if they meet sections 5 to 9. If they cannot, they must not be used for work.</w:t>
      </w:r>
    </w:p>
    <w:p>
      <w:pPr>
        <w:pStyle w:val="ListParagraph"/>
        <w:numPr>
          <w:ilvl w:val="0"/>
          <w:numId w:val="2"/>
        </w:numPr>
        <w:spacing w:after="90"/>
      </w:pPr>
      <w:r>
        <w:t xml:space="preserve">Report a lost or stolen device to </w:t>
      </w:r>
      <w:r>
        <w:rPr>
          <w:highlight w:val="yellow"/>
        </w:rPr>
        <w:t xml:space="preserve">[IT lead]</w:t>
      </w:r>
      <w:r>
        <w:t xml:space="preserve"> immediately so it can be locked or wiped.</w:t>
      </w:r>
    </w:p>
    <w:p>
      <w:pPr>
        <w:pStyle w:val="Heading2"/>
      </w:pPr>
      <w:r>
        <w:t xml:space="preserve">7. Software updates</w:t>
      </w:r>
    </w:p>
    <w:p>
      <w:pPr>
        <w:pStyle w:val="ListParagraph"/>
        <w:numPr>
          <w:ilvl w:val="0"/>
          <w:numId w:val="2"/>
        </w:numPr>
        <w:spacing w:after="90"/>
      </w:pPr>
      <w:r>
        <w:t xml:space="preserve">All software is licensed and supported by its vendor. Unsupported software is removed, or isolated on a network with no internet access.</w:t>
      </w:r>
    </w:p>
    <w:p>
      <w:pPr>
        <w:pStyle w:val="ListParagraph"/>
        <w:numPr>
          <w:ilvl w:val="0"/>
          <w:numId w:val="2"/>
        </w:numPr>
        <w:spacing w:after="90"/>
      </w:pPr>
      <w:r>
        <w:t xml:space="preserve">Automatic updates are switched on wherever possible.</w:t>
      </w:r>
    </w:p>
    <w:p>
      <w:pPr>
        <w:pStyle w:val="ListParagraph"/>
        <w:numPr>
          <w:ilvl w:val="0"/>
          <w:numId w:val="2"/>
        </w:numPr>
        <w:spacing w:after="90"/>
      </w:pPr>
      <w:r>
        <w:t xml:space="preserve">Updates the vendor rates critical or high risk, updates fixing a vulnerability with a CVSS v3 score of 7 or above, and updates released without a severity rating are installed within 14 days of release. This includes operating systems, applications, browser extensions and router and firewall firmware.</w:t>
      </w:r>
    </w:p>
    <w:p>
      <w:pPr>
        <w:pStyle w:val="Heading2"/>
      </w:pPr>
      <w:r>
        <w:t xml:space="preserve">8. Firewalls and remote working</w:t>
      </w:r>
    </w:p>
    <w:p>
      <w:pPr>
        <w:pStyle w:val="ListParagraph"/>
        <w:numPr>
          <w:ilvl w:val="0"/>
          <w:numId w:val="2"/>
        </w:numPr>
        <w:spacing w:after="90"/>
      </w:pPr>
      <w:r>
        <w:t xml:space="preserve">Every office internet connection sits behind a firewall or router whose default admin password has been changed.</w:t>
      </w:r>
    </w:p>
    <w:p>
      <w:pPr>
        <w:pStyle w:val="ListParagraph"/>
        <w:numPr>
          <w:ilvl w:val="0"/>
          <w:numId w:val="2"/>
        </w:numPr>
        <w:spacing w:after="90"/>
      </w:pPr>
      <w:r>
        <w:t xml:space="preserve">Remote admin access to firewalls and routers stays off unless there is a documented need and MFA, or an IP allow list with a strong password, protects it.</w:t>
      </w:r>
    </w:p>
    <w:p>
      <w:pPr>
        <w:pStyle w:val="ListParagraph"/>
        <w:numPr>
          <w:ilvl w:val="0"/>
          <w:numId w:val="2"/>
        </w:numPr>
        <w:spacing w:after="90"/>
      </w:pPr>
      <w:r>
        <w:t xml:space="preserve">Inbound connections from the internet are blocked by default. Any inbound rule is approved by </w:t>
      </w:r>
      <w:r>
        <w:rPr>
          <w:highlight w:val="yellow"/>
        </w:rPr>
        <w:t xml:space="preserve">[IT lead]</w:t>
      </w:r>
      <w:r>
        <w:t xml:space="preserve">, recorded with the business reason and removed when no longer needed.</w:t>
      </w:r>
    </w:p>
    <w:p>
      <w:pPr>
        <w:pStyle w:val="ListParagraph"/>
        <w:numPr>
          <w:ilvl w:val="0"/>
          <w:numId w:val="2"/>
        </w:numPr>
        <w:spacing w:after="90"/>
      </w:pPr>
      <w:r>
        <w:t xml:space="preserve">Laptops keep their built-in firewall switched on, especially at home and on public wifi.</w:t>
      </w:r>
    </w:p>
    <w:p>
      <w:pPr>
        <w:pStyle w:val="Heading2"/>
      </w:pPr>
      <w:r>
        <w:t xml:space="preserve">9. Malware protection</w:t>
      </w:r>
    </w:p>
    <w:p>
      <w:pPr>
        <w:pStyle w:val="ListParagraph"/>
        <w:numPr>
          <w:ilvl w:val="0"/>
          <w:numId w:val="2"/>
        </w:numPr>
        <w:spacing w:after="90"/>
      </w:pPr>
      <w:r>
        <w:t xml:space="preserve">Windows and Mac computers, including servers, run </w:t>
      </w:r>
      <w:r>
        <w:rPr>
          <w:highlight w:val="yellow"/>
        </w:rPr>
        <w:t xml:space="preserve">[anti-malware product]</w:t>
      </w:r>
      <w:r>
        <w:t xml:space="preserve">, updated as the vendor recommends and set to stop malware running and block connections to known malicious websites.</w:t>
      </w:r>
    </w:p>
    <w:p>
      <w:pPr>
        <w:pStyle w:val="ListParagraph"/>
        <w:numPr>
          <w:ilvl w:val="0"/>
          <w:numId w:val="2"/>
        </w:numPr>
        <w:spacing w:after="90"/>
      </w:pPr>
      <w:r>
        <w:t xml:space="preserve">Phones and tablets run only apps on </w:t>
      </w:r>
      <w:r>
        <w:rPr>
          <w:highlight w:val="yellow"/>
        </w:rPr>
        <w:t xml:space="preserve">[our approved app list]</w:t>
      </w:r>
      <w:r>
        <w:t xml:space="preserve">, installed from the official app store and managed through </w:t>
      </w:r>
      <w:r>
        <w:rPr>
          <w:highlight w:val="yellow"/>
        </w:rPr>
        <w:t xml:space="preserve">[device management tool]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90"/>
      </w:pPr>
      <w:r>
        <w:t xml:space="preserve">Never switch malware protection off. If it blocks something you need, ask </w:t>
      </w:r>
      <w:r>
        <w:rPr>
          <w:highlight w:val="yellow"/>
        </w:rPr>
        <w:t xml:space="preserve">[IT lead]</w:t>
      </w:r>
      <w:r>
        <w:t xml:space="preserve">.</w:t>
      </w:r>
    </w:p>
    <w:p>
      <w:pPr>
        <w:pStyle w:val="Heading2"/>
      </w:pPr>
      <w:r>
        <w:t xml:space="preserve">10. Data, email and backups</w:t>
      </w:r>
    </w:p>
    <w:p>
      <w:pPr>
        <w:pStyle w:val="ListParagraph"/>
        <w:numPr>
          <w:ilvl w:val="0"/>
          <w:numId w:val="2"/>
        </w:numPr>
        <w:spacing w:after="90"/>
      </w:pPr>
      <w:r>
        <w:t xml:space="preserve">Company data is stored only in </w:t>
      </w:r>
      <w:r>
        <w:rPr>
          <w:highlight w:val="yellow"/>
        </w:rPr>
        <w:t xml:space="preserve">[approved services]</w:t>
      </w:r>
      <w:r>
        <w:t xml:space="preserve">. Do not forward work email or files to personal accounts.</w:t>
      </w:r>
    </w:p>
    <w:p>
      <w:pPr>
        <w:pStyle w:val="ListParagraph"/>
        <w:numPr>
          <w:ilvl w:val="0"/>
          <w:numId w:val="2"/>
        </w:numPr>
        <w:spacing w:after="90"/>
      </w:pPr>
      <w:r>
        <w:t xml:space="preserve">Laptops and phones use </w:t>
      </w:r>
      <w:r>
        <w:rPr>
          <w:highlight w:val="yellow"/>
        </w:rPr>
        <w:t xml:space="preserve">[built-in device encryption]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90"/>
      </w:pPr>
      <w:r>
        <w:t xml:space="preserve">Treat unexpected requests for payments, bank detail changes, passwords or MFA codes as suspicious, and check by phone on a known number.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highlight w:val="yellow"/>
        </w:rPr>
        <w:t xml:space="preserve">[IT lead]</w:t>
      </w:r>
      <w:r>
        <w:t xml:space="preserve"> backs up </w:t>
      </w:r>
      <w:r>
        <w:rPr>
          <w:highlight w:val="yellow"/>
        </w:rPr>
        <w:t xml:space="preserve">[named systems]</w:t>
      </w:r>
      <w:r>
        <w:t xml:space="preserve"> </w:t>
      </w:r>
      <w:r>
        <w:rPr>
          <w:highlight w:val="yellow"/>
        </w:rPr>
        <w:t xml:space="preserve">[daily]</w:t>
      </w:r>
      <w:r>
        <w:t xml:space="preserve">, keeps at least one copy separate from our main systems and tests a restore every </w:t>
      </w:r>
      <w:r>
        <w:rPr>
          <w:highlight w:val="yellow"/>
        </w:rPr>
        <w:t xml:space="preserve">[three months]</w:t>
      </w:r>
      <w:r>
        <w:t xml:space="preserve">.</w:t>
      </w:r>
    </w:p>
    <w:p>
      <w:pPr>
        <w:pStyle w:val="Heading2"/>
      </w:pPr>
      <w:r>
        <w:t xml:space="preserve">11. Reporting incidents</w:t>
      </w:r>
    </w:p>
    <w:p>
      <w:pPr>
        <w:pStyle w:val="ListParagraph"/>
        <w:numPr>
          <w:ilvl w:val="0"/>
          <w:numId w:val="2"/>
        </w:numPr>
        <w:spacing w:after="90"/>
      </w:pPr>
      <w:r>
        <w:t xml:space="preserve">Report straight away to </w:t>
      </w:r>
      <w:r>
        <w:rPr>
          <w:highlight w:val="yellow"/>
        </w:rPr>
        <w:t xml:space="preserve">[name, phone and email]</w:t>
      </w:r>
      <w:r>
        <w:t xml:space="preserve"> if you click a suspicious link, lose a device, notice unusual account activity or send data to the wrong person.</w:t>
      </w:r>
    </w:p>
    <w:p>
      <w:pPr>
        <w:pStyle w:val="ListParagraph"/>
        <w:numPr>
          <w:ilvl w:val="0"/>
          <w:numId w:val="2"/>
        </w:numPr>
        <w:spacing w:after="90"/>
      </w:pPr>
      <w:r>
        <w:t xml:space="preserve">Nobody is blamed for reporting promptly; delay makes incidents worse.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highlight w:val="yellow"/>
        </w:rPr>
        <w:t xml:space="preserve">[Policy owner]</w:t>
      </w:r>
      <w:r>
        <w:t xml:space="preserve"> decides next steps, including whether a personal data breach must be reported to the ICO. Where it must, we report without undue delay and, where feasible, within 72 hours of becoming aware of it.</w:t>
      </w:r>
    </w:p>
    <w:p>
      <w:pPr>
        <w:pBdr>
          <w:top w:val="single" w:color="F4F3EF" w:sz="4" w:space="4"/>
          <w:left w:val="single" w:color="E02840" w:sz="24" w:space="8"/>
          <w:bottom w:val="single" w:color="F4F3EF" w:sz="4" w:space="4"/>
        </w:pBdr>
        <w:shd w:fill="F4F3EF" w:color="auto" w:val="clear"/>
        <w:spacing w:after="220" w:before="120"/>
        <w:ind w:left="200" w:right="120"/>
      </w:pPr>
      <w:r>
        <w:rPr>
          <w:b/>
          <w:bCs/>
          <w:color w:val="E02840"/>
        </w:rPr>
        <w:t xml:space="preserve">Guidance: </w:t>
      </w:r>
      <w:r>
        <w:t xml:space="preserve">For what happens after an incident is reported, use our incident response plan template at </w:t>
      </w:r>
      <w:hyperlink w:history="1" r:id="rId5up7kbmg5u-uqkcf4r0d-">
        <w:r>
          <w:rPr>
            <w:rStyle w:val="Hyperlink"/>
          </w:rPr>
          <w:t xml:space="preserve">sovereignsecure.co.uk/incident-response-plan-template/</w:t>
        </w:r>
      </w:hyperlink>
      <w:r>
        <w:t xml:space="preserve">.</w:t>
      </w:r>
    </w:p>
    <w:p>
      <w:pPr>
        <w:pStyle w:val="Heading2"/>
      </w:pPr>
      <w:r>
        <w:t xml:space="preserve">12. Suppliers, review and breaches of this policy</w:t>
      </w:r>
    </w:p>
    <w:p>
      <w:pPr>
        <w:pStyle w:val="ListParagraph"/>
        <w:numPr>
          <w:ilvl w:val="0"/>
          <w:numId w:val="2"/>
        </w:numPr>
        <w:spacing w:after="90"/>
      </w:pPr>
      <w:r>
        <w:t xml:space="preserve">Suppliers who manage our IT follow sections 4 to 9 for any accounts they use on our behalf.</w:t>
      </w:r>
    </w:p>
    <w:p>
      <w:pPr>
        <w:pStyle w:val="ListParagraph"/>
        <w:numPr>
          <w:ilvl w:val="0"/>
          <w:numId w:val="2"/>
        </w:numPr>
        <w:spacing w:after="90"/>
      </w:pPr>
      <w:r>
        <w:t xml:space="preserve">Suppliers who handle our data are asked for evidence of their security, such as a Cyber Essentials certificate.</w:t>
      </w:r>
    </w:p>
    <w:p>
      <w:pPr>
        <w:pStyle w:val="ListParagraph"/>
        <w:numPr>
          <w:ilvl w:val="0"/>
          <w:numId w:val="2"/>
        </w:numPr>
        <w:spacing w:after="90"/>
      </w:pPr>
      <w:r>
        <w:t xml:space="preserve">This policy is reviewed at least every 12 months and after any significant change or incident. Everyone it covers confirms they have read it.</w:t>
      </w:r>
    </w:p>
    <w:p>
      <w:pPr>
        <w:pStyle w:val="ListParagraph"/>
        <w:numPr>
          <w:ilvl w:val="0"/>
          <w:numId w:val="2"/>
        </w:numPr>
        <w:spacing w:after="90"/>
      </w:pPr>
      <w:r>
        <w:t xml:space="preserve">Breaching this policy may lead to disciplinary action.</w:t>
      </w:r>
    </w:p>
    <w:p>
      <w:pPr>
        <w:pStyle w:val="Heading1"/>
        <w:pageBreakBefore/>
      </w:pPr>
      <w:r>
        <w:t xml:space="preserve">Part B: How the policy maps to Cyber Essentials</w:t>
      </w:r>
    </w:p>
    <w:p>
      <w:pPr>
        <w:keepNext/>
        <w:spacing w:after="140" w:before="0"/>
      </w:pPr>
      <w:r>
        <w:t xml:space="preserve">Cyber Essentials checks five technical controls: firewalls, secure configuration, security update management, user access control and malware protection. Sections 4 to 9 cover all five. The other sections are not Cyber Essentials controls, but customers, insurers and tender questionnaires routinely ask about them.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700"/>
        <w:gridCol w:w="3938"/>
        <w:gridCol w:w="3000"/>
      </w:tblGrid>
      <w:tr>
        <w:trPr>
          <w:cantSplit/>
          <w:tblHeader/>
        </w:trPr>
        <w:tc>
          <w:tcPr>
            <w:tcW w:type="dxa" w:w="2700"/>
            <w:tcBorders>
              <w:top w:val="single" w:color="102838" w:sz="4"/>
              <w:left w:val="single" w:color="102838" w:sz="4"/>
              <w:bottom w:val="single" w:color="102838" w:sz="4"/>
              <w:right w:val="single" w:color="102838" w:sz="4"/>
            </w:tcBorders>
            <w:shd w:fill="10283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Section</w:t>
            </w:r>
          </w:p>
        </w:tc>
        <w:tc>
          <w:tcPr>
            <w:tcW w:type="dxa" w:w="3938"/>
            <w:tcBorders>
              <w:top w:val="single" w:color="102838" w:sz="4"/>
              <w:left w:val="single" w:color="102838" w:sz="4"/>
              <w:bottom w:val="single" w:color="102838" w:sz="4"/>
              <w:right w:val="single" w:color="102838" w:sz="4"/>
            </w:tcBorders>
            <w:shd w:fill="10283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What it sets out</w:t>
            </w:r>
          </w:p>
        </w:tc>
        <w:tc>
          <w:tcPr>
            <w:tcW w:type="dxa" w:w="3000"/>
            <w:tcBorders>
              <w:top w:val="single" w:color="102838" w:sz="4"/>
              <w:left w:val="single" w:color="102838" w:sz="4"/>
              <w:bottom w:val="single" w:color="102838" w:sz="4"/>
              <w:right w:val="single" w:color="102838" w:sz="4"/>
            </w:tcBorders>
            <w:shd w:fill="10283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Cyber Essentials control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D6D3CA" w:sz="4"/>
              <w:left w:val="single" w:color="D6D3CA" w:sz="4"/>
              <w:bottom w:val="single" w:color="D6D3CA" w:sz="4"/>
              <w:right w:val="single" w:color="D6D3C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b/>
                <w:bCs/>
                <w:color w:val="102838"/>
                <w:sz w:val="20"/>
                <w:szCs w:val="20"/>
              </w:rPr>
              <w:t xml:space="preserve">1. Purpose and scope</w:t>
            </w:r>
          </w:p>
        </w:tc>
        <w:tc>
          <w:tcPr>
            <w:tcW w:type="dxa" w:w="3938"/>
            <w:tcBorders>
              <w:top w:val="single" w:color="D6D3CA" w:sz="4"/>
              <w:left w:val="single" w:color="D6D3CA" w:sz="4"/>
              <w:bottom w:val="single" w:color="D6D3CA" w:sz="4"/>
              <w:right w:val="single" w:color="D6D3C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sz w:val="20"/>
                <w:szCs w:val="20"/>
              </w:rPr>
              <w:t xml:space="preserve">People, devices and cloud services covered</w:t>
            </w:r>
          </w:p>
        </w:tc>
        <w:tc>
          <w:tcPr>
            <w:tcW w:type="dxa" w:w="3000"/>
            <w:tcBorders>
              <w:top w:val="single" w:color="D6D3CA" w:sz="4"/>
              <w:left w:val="single" w:color="D6D3CA" w:sz="4"/>
              <w:bottom w:val="single" w:color="D6D3CA" w:sz="4"/>
              <w:right w:val="single" w:color="D6D3C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sz w:val="20"/>
                <w:szCs w:val="20"/>
              </w:rPr>
              <w:t xml:space="preserve">Scope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D6D3CA" w:sz="4"/>
              <w:left w:val="single" w:color="D6D3CA" w:sz="4"/>
              <w:bottom w:val="single" w:color="D6D3CA" w:sz="4"/>
              <w:right w:val="single" w:color="D6D3CA" w:sz="4"/>
            </w:tcBorders>
            <w:shd w:fill="F4F3E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b/>
                <w:bCs/>
                <w:color w:val="102838"/>
                <w:sz w:val="20"/>
                <w:szCs w:val="20"/>
              </w:rPr>
              <w:t xml:space="preserve">2. Roles</w:t>
            </w:r>
          </w:p>
        </w:tc>
        <w:tc>
          <w:tcPr>
            <w:tcW w:type="dxa" w:w="3938"/>
            <w:tcBorders>
              <w:top w:val="single" w:color="D6D3CA" w:sz="4"/>
              <w:left w:val="single" w:color="D6D3CA" w:sz="4"/>
              <w:bottom w:val="single" w:color="D6D3CA" w:sz="4"/>
              <w:right w:val="single" w:color="D6D3CA" w:sz="4"/>
            </w:tcBorders>
            <w:shd w:fill="F4F3E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sz w:val="20"/>
                <w:szCs w:val="20"/>
              </w:rPr>
              <w:t xml:space="preserve">Who owns the policy and who manages IT</w:t>
            </w:r>
          </w:p>
        </w:tc>
        <w:tc>
          <w:tcPr>
            <w:tcW w:type="dxa" w:w="3000"/>
            <w:tcBorders>
              <w:top w:val="single" w:color="D6D3CA" w:sz="4"/>
              <w:left w:val="single" w:color="D6D3CA" w:sz="4"/>
              <w:bottom w:val="single" w:color="D6D3CA" w:sz="4"/>
              <w:right w:val="single" w:color="D6D3CA" w:sz="4"/>
            </w:tcBorders>
            <w:shd w:fill="F4F3E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sz w:val="20"/>
                <w:szCs w:val="20"/>
              </w:rPr>
              <w:t xml:space="preserve">Not a CE control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D6D3CA" w:sz="4"/>
              <w:left w:val="single" w:color="D6D3CA" w:sz="4"/>
              <w:bottom w:val="single" w:color="D6D3CA" w:sz="4"/>
              <w:right w:val="single" w:color="D6D3C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b/>
                <w:bCs/>
                <w:color w:val="102838"/>
                <w:sz w:val="20"/>
                <w:szCs w:val="20"/>
              </w:rPr>
              <w:t xml:space="preserve">3. Acceptable use</w:t>
            </w:r>
          </w:p>
        </w:tc>
        <w:tc>
          <w:tcPr>
            <w:tcW w:type="dxa" w:w="3938"/>
            <w:tcBorders>
              <w:top w:val="single" w:color="D6D3CA" w:sz="4"/>
              <w:left w:val="single" w:color="D6D3CA" w:sz="4"/>
              <w:bottom w:val="single" w:color="D6D3CA" w:sz="4"/>
              <w:right w:val="single" w:color="D6D3C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sz w:val="20"/>
                <w:szCs w:val="20"/>
              </w:rPr>
              <w:t xml:space="preserve">What company IT may be used for</w:t>
            </w:r>
          </w:p>
        </w:tc>
        <w:tc>
          <w:tcPr>
            <w:tcW w:type="dxa" w:w="3000"/>
            <w:tcBorders>
              <w:top w:val="single" w:color="D6D3CA" w:sz="4"/>
              <w:left w:val="single" w:color="D6D3CA" w:sz="4"/>
              <w:bottom w:val="single" w:color="D6D3CA" w:sz="4"/>
              <w:right w:val="single" w:color="D6D3C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sz w:val="20"/>
                <w:szCs w:val="20"/>
              </w:rPr>
              <w:t xml:space="preserve">Not a CE control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D6D3CA" w:sz="4"/>
              <w:left w:val="single" w:color="D6D3CA" w:sz="4"/>
              <w:bottom w:val="single" w:color="D6D3CA" w:sz="4"/>
              <w:right w:val="single" w:color="D6D3CA" w:sz="4"/>
            </w:tcBorders>
            <w:shd w:fill="F4F3E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b/>
                <w:bCs/>
                <w:color w:val="102838"/>
                <w:sz w:val="20"/>
                <w:szCs w:val="20"/>
              </w:rPr>
              <w:t xml:space="preserve">4. Accounts and access</w:t>
            </w:r>
          </w:p>
        </w:tc>
        <w:tc>
          <w:tcPr>
            <w:tcW w:type="dxa" w:w="3938"/>
            <w:tcBorders>
              <w:top w:val="single" w:color="D6D3CA" w:sz="4"/>
              <w:left w:val="single" w:color="D6D3CA" w:sz="4"/>
              <w:bottom w:val="single" w:color="D6D3CA" w:sz="4"/>
              <w:right w:val="single" w:color="D6D3CA" w:sz="4"/>
            </w:tcBorders>
            <w:shd w:fill="F4F3E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sz w:val="20"/>
                <w:szCs w:val="20"/>
              </w:rPr>
              <w:t xml:space="preserve">How accounts are approved, limited and removed</w:t>
            </w:r>
          </w:p>
        </w:tc>
        <w:tc>
          <w:tcPr>
            <w:tcW w:type="dxa" w:w="3000"/>
            <w:tcBorders>
              <w:top w:val="single" w:color="D6D3CA" w:sz="4"/>
              <w:left w:val="single" w:color="D6D3CA" w:sz="4"/>
              <w:bottom w:val="single" w:color="D6D3CA" w:sz="4"/>
              <w:right w:val="single" w:color="D6D3CA" w:sz="4"/>
            </w:tcBorders>
            <w:shd w:fill="F4F3E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sz w:val="20"/>
                <w:szCs w:val="20"/>
              </w:rPr>
              <w:t xml:space="preserve">User access control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D6D3CA" w:sz="4"/>
              <w:left w:val="single" w:color="D6D3CA" w:sz="4"/>
              <w:bottom w:val="single" w:color="D6D3CA" w:sz="4"/>
              <w:right w:val="single" w:color="D6D3C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b/>
                <w:bCs/>
                <w:color w:val="102838"/>
                <w:sz w:val="20"/>
                <w:szCs w:val="20"/>
              </w:rPr>
              <w:t xml:space="preserve">5. Passwords and MFA</w:t>
            </w:r>
          </w:p>
        </w:tc>
        <w:tc>
          <w:tcPr>
            <w:tcW w:type="dxa" w:w="3938"/>
            <w:tcBorders>
              <w:top w:val="single" w:color="D6D3CA" w:sz="4"/>
              <w:left w:val="single" w:color="D6D3CA" w:sz="4"/>
              <w:bottom w:val="single" w:color="D6D3CA" w:sz="4"/>
              <w:right w:val="single" w:color="D6D3C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sz w:val="20"/>
                <w:szCs w:val="20"/>
              </w:rPr>
              <w:t xml:space="preserve">Password length and MFA</w:t>
            </w:r>
          </w:p>
        </w:tc>
        <w:tc>
          <w:tcPr>
            <w:tcW w:type="dxa" w:w="3000"/>
            <w:tcBorders>
              <w:top w:val="single" w:color="D6D3CA" w:sz="4"/>
              <w:left w:val="single" w:color="D6D3CA" w:sz="4"/>
              <w:bottom w:val="single" w:color="D6D3CA" w:sz="4"/>
              <w:right w:val="single" w:color="D6D3C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sz w:val="20"/>
                <w:szCs w:val="20"/>
              </w:rPr>
              <w:t xml:space="preserve">User access control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D6D3CA" w:sz="4"/>
              <w:left w:val="single" w:color="D6D3CA" w:sz="4"/>
              <w:bottom w:val="single" w:color="D6D3CA" w:sz="4"/>
              <w:right w:val="single" w:color="D6D3CA" w:sz="4"/>
            </w:tcBorders>
            <w:shd w:fill="F4F3E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b/>
                <w:bCs/>
                <w:color w:val="102838"/>
                <w:sz w:val="20"/>
                <w:szCs w:val="20"/>
              </w:rPr>
              <w:t xml:space="preserve">6. Devices and configuration</w:t>
            </w:r>
          </w:p>
        </w:tc>
        <w:tc>
          <w:tcPr>
            <w:tcW w:type="dxa" w:w="3938"/>
            <w:tcBorders>
              <w:top w:val="single" w:color="D6D3CA" w:sz="4"/>
              <w:left w:val="single" w:color="D6D3CA" w:sz="4"/>
              <w:bottom w:val="single" w:color="D6D3CA" w:sz="4"/>
              <w:right w:val="single" w:color="D6D3CA" w:sz="4"/>
            </w:tcBorders>
            <w:shd w:fill="F4F3E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sz w:val="20"/>
                <w:szCs w:val="20"/>
              </w:rPr>
              <w:t xml:space="preserve">Approved devices, screen locks and personal devices</w:t>
            </w:r>
          </w:p>
        </w:tc>
        <w:tc>
          <w:tcPr>
            <w:tcW w:type="dxa" w:w="3000"/>
            <w:tcBorders>
              <w:top w:val="single" w:color="D6D3CA" w:sz="4"/>
              <w:left w:val="single" w:color="D6D3CA" w:sz="4"/>
              <w:bottom w:val="single" w:color="D6D3CA" w:sz="4"/>
              <w:right w:val="single" w:color="D6D3CA" w:sz="4"/>
            </w:tcBorders>
            <w:shd w:fill="F4F3E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sz w:val="20"/>
                <w:szCs w:val="20"/>
              </w:rPr>
              <w:t xml:space="preserve">Secure configuration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D6D3CA" w:sz="4"/>
              <w:left w:val="single" w:color="D6D3CA" w:sz="4"/>
              <w:bottom w:val="single" w:color="D6D3CA" w:sz="4"/>
              <w:right w:val="single" w:color="D6D3C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b/>
                <w:bCs/>
                <w:color w:val="102838"/>
                <w:sz w:val="20"/>
                <w:szCs w:val="20"/>
              </w:rPr>
              <w:t xml:space="preserve">7. Software updates</w:t>
            </w:r>
          </w:p>
        </w:tc>
        <w:tc>
          <w:tcPr>
            <w:tcW w:type="dxa" w:w="3938"/>
            <w:tcBorders>
              <w:top w:val="single" w:color="D6D3CA" w:sz="4"/>
              <w:left w:val="single" w:color="D6D3CA" w:sz="4"/>
              <w:bottom w:val="single" w:color="D6D3CA" w:sz="4"/>
              <w:right w:val="single" w:color="D6D3C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sz w:val="20"/>
                <w:szCs w:val="20"/>
              </w:rPr>
              <w:t xml:space="preserve">Supported software and the 14-day rule</w:t>
            </w:r>
          </w:p>
        </w:tc>
        <w:tc>
          <w:tcPr>
            <w:tcW w:type="dxa" w:w="3000"/>
            <w:tcBorders>
              <w:top w:val="single" w:color="D6D3CA" w:sz="4"/>
              <w:left w:val="single" w:color="D6D3CA" w:sz="4"/>
              <w:bottom w:val="single" w:color="D6D3CA" w:sz="4"/>
              <w:right w:val="single" w:color="D6D3C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sz w:val="20"/>
                <w:szCs w:val="20"/>
              </w:rPr>
              <w:t xml:space="preserve">Security update management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D6D3CA" w:sz="4"/>
              <w:left w:val="single" w:color="D6D3CA" w:sz="4"/>
              <w:bottom w:val="single" w:color="D6D3CA" w:sz="4"/>
              <w:right w:val="single" w:color="D6D3CA" w:sz="4"/>
            </w:tcBorders>
            <w:shd w:fill="F4F3E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b/>
                <w:bCs/>
                <w:color w:val="102838"/>
                <w:sz w:val="20"/>
                <w:szCs w:val="20"/>
              </w:rPr>
              <w:t xml:space="preserve">8. Firewalls and remote working</w:t>
            </w:r>
          </w:p>
        </w:tc>
        <w:tc>
          <w:tcPr>
            <w:tcW w:type="dxa" w:w="3938"/>
            <w:tcBorders>
              <w:top w:val="single" w:color="D6D3CA" w:sz="4"/>
              <w:left w:val="single" w:color="D6D3CA" w:sz="4"/>
              <w:bottom w:val="single" w:color="D6D3CA" w:sz="4"/>
              <w:right w:val="single" w:color="D6D3CA" w:sz="4"/>
            </w:tcBorders>
            <w:shd w:fill="F4F3E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sz w:val="20"/>
                <w:szCs w:val="20"/>
              </w:rPr>
              <w:t xml:space="preserve">Office routers, home working and public wifi</w:t>
            </w:r>
          </w:p>
        </w:tc>
        <w:tc>
          <w:tcPr>
            <w:tcW w:type="dxa" w:w="3000"/>
            <w:tcBorders>
              <w:top w:val="single" w:color="D6D3CA" w:sz="4"/>
              <w:left w:val="single" w:color="D6D3CA" w:sz="4"/>
              <w:bottom w:val="single" w:color="D6D3CA" w:sz="4"/>
              <w:right w:val="single" w:color="D6D3CA" w:sz="4"/>
            </w:tcBorders>
            <w:shd w:fill="F4F3E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sz w:val="20"/>
                <w:szCs w:val="20"/>
              </w:rPr>
              <w:t xml:space="preserve">Firewalls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D6D3CA" w:sz="4"/>
              <w:left w:val="single" w:color="D6D3CA" w:sz="4"/>
              <w:bottom w:val="single" w:color="D6D3CA" w:sz="4"/>
              <w:right w:val="single" w:color="D6D3C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b/>
                <w:bCs/>
                <w:color w:val="102838"/>
                <w:sz w:val="20"/>
                <w:szCs w:val="20"/>
              </w:rPr>
              <w:t xml:space="preserve">9. Malware protection</w:t>
            </w:r>
          </w:p>
        </w:tc>
        <w:tc>
          <w:tcPr>
            <w:tcW w:type="dxa" w:w="3938"/>
            <w:tcBorders>
              <w:top w:val="single" w:color="D6D3CA" w:sz="4"/>
              <w:left w:val="single" w:color="D6D3CA" w:sz="4"/>
              <w:bottom w:val="single" w:color="D6D3CA" w:sz="4"/>
              <w:right w:val="single" w:color="D6D3C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sz w:val="20"/>
                <w:szCs w:val="20"/>
              </w:rPr>
              <w:t xml:space="preserve">Anti-malware and approved apps</w:t>
            </w:r>
          </w:p>
        </w:tc>
        <w:tc>
          <w:tcPr>
            <w:tcW w:type="dxa" w:w="3000"/>
            <w:tcBorders>
              <w:top w:val="single" w:color="D6D3CA" w:sz="4"/>
              <w:left w:val="single" w:color="D6D3CA" w:sz="4"/>
              <w:bottom w:val="single" w:color="D6D3CA" w:sz="4"/>
              <w:right w:val="single" w:color="D6D3C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sz w:val="20"/>
                <w:szCs w:val="20"/>
              </w:rPr>
              <w:t xml:space="preserve">Malware protection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D6D3CA" w:sz="4"/>
              <w:left w:val="single" w:color="D6D3CA" w:sz="4"/>
              <w:bottom w:val="single" w:color="D6D3CA" w:sz="4"/>
              <w:right w:val="single" w:color="D6D3CA" w:sz="4"/>
            </w:tcBorders>
            <w:shd w:fill="F4F3E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b/>
                <w:bCs/>
                <w:color w:val="102838"/>
                <w:sz w:val="20"/>
                <w:szCs w:val="20"/>
              </w:rPr>
              <w:t xml:space="preserve">10. Data, email and backups</w:t>
            </w:r>
          </w:p>
        </w:tc>
        <w:tc>
          <w:tcPr>
            <w:tcW w:type="dxa" w:w="3938"/>
            <w:tcBorders>
              <w:top w:val="single" w:color="D6D3CA" w:sz="4"/>
              <w:left w:val="single" w:color="D6D3CA" w:sz="4"/>
              <w:bottom w:val="single" w:color="D6D3CA" w:sz="4"/>
              <w:right w:val="single" w:color="D6D3CA" w:sz="4"/>
            </w:tcBorders>
            <w:shd w:fill="F4F3E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sz w:val="20"/>
                <w:szCs w:val="20"/>
              </w:rPr>
              <w:t xml:space="preserve">Where data lives, payment scams and backups</w:t>
            </w:r>
          </w:p>
        </w:tc>
        <w:tc>
          <w:tcPr>
            <w:tcW w:type="dxa" w:w="3000"/>
            <w:tcBorders>
              <w:top w:val="single" w:color="D6D3CA" w:sz="4"/>
              <w:left w:val="single" w:color="D6D3CA" w:sz="4"/>
              <w:bottom w:val="single" w:color="D6D3CA" w:sz="4"/>
              <w:right w:val="single" w:color="D6D3CA" w:sz="4"/>
            </w:tcBorders>
            <w:shd w:fill="F4F3E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sz w:val="20"/>
                <w:szCs w:val="20"/>
              </w:rPr>
              <w:t xml:space="preserve">Not a CE control (backups are recommended)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D6D3CA" w:sz="4"/>
              <w:left w:val="single" w:color="D6D3CA" w:sz="4"/>
              <w:bottom w:val="single" w:color="D6D3CA" w:sz="4"/>
              <w:right w:val="single" w:color="D6D3C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b/>
                <w:bCs/>
                <w:color w:val="102838"/>
                <w:sz w:val="20"/>
                <w:szCs w:val="20"/>
              </w:rPr>
              <w:t xml:space="preserve">11. Reporting incidents</w:t>
            </w:r>
          </w:p>
        </w:tc>
        <w:tc>
          <w:tcPr>
            <w:tcW w:type="dxa" w:w="3938"/>
            <w:tcBorders>
              <w:top w:val="single" w:color="D6D3CA" w:sz="4"/>
              <w:left w:val="single" w:color="D6D3CA" w:sz="4"/>
              <w:bottom w:val="single" w:color="D6D3CA" w:sz="4"/>
              <w:right w:val="single" w:color="D6D3C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sz w:val="20"/>
                <w:szCs w:val="20"/>
              </w:rPr>
              <w:t xml:space="preserve">What to report, to whom and how fast</w:t>
            </w:r>
          </w:p>
        </w:tc>
        <w:tc>
          <w:tcPr>
            <w:tcW w:type="dxa" w:w="3000"/>
            <w:tcBorders>
              <w:top w:val="single" w:color="D6D3CA" w:sz="4"/>
              <w:left w:val="single" w:color="D6D3CA" w:sz="4"/>
              <w:bottom w:val="single" w:color="D6D3CA" w:sz="4"/>
              <w:right w:val="single" w:color="D6D3C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sz w:val="20"/>
                <w:szCs w:val="20"/>
              </w:rPr>
              <w:t xml:space="preserve">Not a CE control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D6D3CA" w:sz="4"/>
              <w:left w:val="single" w:color="D6D3CA" w:sz="4"/>
              <w:bottom w:val="single" w:color="D6D3CA" w:sz="4"/>
              <w:right w:val="single" w:color="D6D3CA" w:sz="4"/>
            </w:tcBorders>
            <w:shd w:fill="F4F3E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b/>
                <w:bCs/>
                <w:color w:val="102838"/>
                <w:sz w:val="20"/>
                <w:szCs w:val="20"/>
              </w:rPr>
              <w:t xml:space="preserve">12. Suppliers and review</w:t>
            </w:r>
          </w:p>
        </w:tc>
        <w:tc>
          <w:tcPr>
            <w:tcW w:type="dxa" w:w="3938"/>
            <w:tcBorders>
              <w:top w:val="single" w:color="D6D3CA" w:sz="4"/>
              <w:left w:val="single" w:color="D6D3CA" w:sz="4"/>
              <w:bottom w:val="single" w:color="D6D3CA" w:sz="4"/>
              <w:right w:val="single" w:color="D6D3CA" w:sz="4"/>
            </w:tcBorders>
            <w:shd w:fill="F4F3E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sz w:val="20"/>
                <w:szCs w:val="20"/>
              </w:rPr>
              <w:t xml:space="preserve">IT providers and review dates</w:t>
            </w:r>
          </w:p>
        </w:tc>
        <w:tc>
          <w:tcPr>
            <w:tcW w:type="dxa" w:w="3000"/>
            <w:tcBorders>
              <w:top w:val="single" w:color="D6D3CA" w:sz="4"/>
              <w:left w:val="single" w:color="D6D3CA" w:sz="4"/>
              <w:bottom w:val="single" w:color="D6D3CA" w:sz="4"/>
              <w:right w:val="single" w:color="D6D3CA" w:sz="4"/>
            </w:tcBorders>
            <w:shd w:fill="F4F3E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sz w:val="20"/>
                <w:szCs w:val="20"/>
              </w:rPr>
              <w:t xml:space="preserve">Partly: accounts your IT provider uses are in scope</w:t>
            </w:r>
          </w:p>
        </w:tc>
      </w:tr>
    </w:tbl>
    <w:p>
      <w:pPr>
        <w:pStyle w:val="Heading1"/>
        <w:pageBreakBefore/>
      </w:pPr>
      <w:r>
        <w:t xml:space="preserve">Part C: Staff acknowledgement record</w:t>
      </w:r>
    </w:p>
    <w:p>
      <w:pPr>
        <w:keepNext/>
        <w:spacing w:after="140" w:before="0"/>
      </w:pPr>
      <w:r>
        <w:t xml:space="preserve">Section 12 asks everyone the policy covers to confirm they have read it. Record each confirmation here, or in your HR system, and repeat it after every review.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400"/>
        <w:gridCol w:w="1900"/>
        <w:gridCol w:w="1300"/>
        <w:gridCol w:w="1500"/>
        <w:gridCol w:w="2538"/>
      </w:tblGrid>
      <w:tr>
        <w:trPr>
          <w:cantSplit/>
          <w:tblHeader/>
        </w:trPr>
        <w:tc>
          <w:tcPr>
            <w:tcW w:type="dxa" w:w="2400"/>
            <w:tcBorders>
              <w:top w:val="single" w:color="102838" w:sz="4"/>
              <w:left w:val="single" w:color="102838" w:sz="4"/>
              <w:bottom w:val="single" w:color="102838" w:sz="4"/>
              <w:right w:val="single" w:color="102838" w:sz="4"/>
            </w:tcBorders>
            <w:shd w:fill="10283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Name</w:t>
            </w:r>
          </w:p>
        </w:tc>
        <w:tc>
          <w:tcPr>
            <w:tcW w:type="dxa" w:w="1900"/>
            <w:tcBorders>
              <w:top w:val="single" w:color="102838" w:sz="4"/>
              <w:left w:val="single" w:color="102838" w:sz="4"/>
              <w:bottom w:val="single" w:color="102838" w:sz="4"/>
              <w:right w:val="single" w:color="102838" w:sz="4"/>
            </w:tcBorders>
            <w:shd w:fill="10283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Role</w:t>
            </w:r>
          </w:p>
        </w:tc>
        <w:tc>
          <w:tcPr>
            <w:tcW w:type="dxa" w:w="1300"/>
            <w:tcBorders>
              <w:top w:val="single" w:color="102838" w:sz="4"/>
              <w:left w:val="single" w:color="102838" w:sz="4"/>
              <w:bottom w:val="single" w:color="102838" w:sz="4"/>
              <w:right w:val="single" w:color="102838" w:sz="4"/>
            </w:tcBorders>
            <w:shd w:fill="10283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Policy version</w:t>
            </w:r>
          </w:p>
        </w:tc>
        <w:tc>
          <w:tcPr>
            <w:tcW w:type="dxa" w:w="1500"/>
            <w:tcBorders>
              <w:top w:val="single" w:color="102838" w:sz="4"/>
              <w:left w:val="single" w:color="102838" w:sz="4"/>
              <w:bottom w:val="single" w:color="102838" w:sz="4"/>
              <w:right w:val="single" w:color="102838" w:sz="4"/>
            </w:tcBorders>
            <w:shd w:fill="10283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Date read</w:t>
            </w:r>
          </w:p>
        </w:tc>
        <w:tc>
          <w:tcPr>
            <w:tcW w:type="dxa" w:w="2538"/>
            <w:tcBorders>
              <w:top w:val="single" w:color="102838" w:sz="4"/>
              <w:left w:val="single" w:color="102838" w:sz="4"/>
              <w:bottom w:val="single" w:color="102838" w:sz="4"/>
              <w:right w:val="single" w:color="102838" w:sz="4"/>
            </w:tcBorders>
            <w:shd w:fill="10283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Signature or confirmation</w:t>
            </w:r>
          </w:p>
        </w:tc>
      </w:tr>
      <w:tr>
        <w:trPr>
          <w:cantSplit/>
        </w:trPr>
        <w:tc>
          <w:tcPr>
            <w:tcW w:type="dxa" w:w="2400"/>
            <w:tcBorders>
              <w:top w:val="single" w:color="D6D3CA" w:sz="4"/>
              <w:left w:val="single" w:color="D6D3CA" w:sz="4"/>
              <w:bottom w:val="single" w:color="D6D3CA" w:sz="4"/>
              <w:right w:val="single" w:color="D6D3C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</w:p>
        </w:tc>
        <w:tc>
          <w:tcPr>
            <w:tcW w:type="dxa" w:w="1900"/>
            <w:tcBorders>
              <w:top w:val="single" w:color="D6D3CA" w:sz="4"/>
              <w:left w:val="single" w:color="D6D3CA" w:sz="4"/>
              <w:bottom w:val="single" w:color="D6D3CA" w:sz="4"/>
              <w:right w:val="single" w:color="D6D3C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</w:p>
        </w:tc>
        <w:tc>
          <w:tcPr>
            <w:tcW w:type="dxa" w:w="1300"/>
            <w:tcBorders>
              <w:top w:val="single" w:color="D6D3CA" w:sz="4"/>
              <w:left w:val="single" w:color="D6D3CA" w:sz="4"/>
              <w:bottom w:val="single" w:color="D6D3CA" w:sz="4"/>
              <w:right w:val="single" w:color="D6D3C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</w:p>
        </w:tc>
        <w:tc>
          <w:tcPr>
            <w:tcW w:type="dxa" w:w="1500"/>
            <w:tcBorders>
              <w:top w:val="single" w:color="D6D3CA" w:sz="4"/>
              <w:left w:val="single" w:color="D6D3CA" w:sz="4"/>
              <w:bottom w:val="single" w:color="D6D3CA" w:sz="4"/>
              <w:right w:val="single" w:color="D6D3C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</w:p>
        </w:tc>
        <w:tc>
          <w:tcPr>
            <w:tcW w:type="dxa" w:w="2538"/>
            <w:tcBorders>
              <w:top w:val="single" w:color="D6D3CA" w:sz="4"/>
              <w:left w:val="single" w:color="D6D3CA" w:sz="4"/>
              <w:bottom w:val="single" w:color="D6D3CA" w:sz="4"/>
              <w:right w:val="single" w:color="D6D3C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</w:p>
        </w:tc>
      </w:tr>
      <w:tr>
        <w:trPr>
          <w:cantSplit/>
        </w:trPr>
        <w:tc>
          <w:tcPr>
            <w:tcW w:type="dxa" w:w="2400"/>
            <w:tcBorders>
              <w:top w:val="single" w:color="D6D3CA" w:sz="4"/>
              <w:left w:val="single" w:color="D6D3CA" w:sz="4"/>
              <w:bottom w:val="single" w:color="D6D3CA" w:sz="4"/>
              <w:right w:val="single" w:color="D6D3CA" w:sz="4"/>
            </w:tcBorders>
            <w:shd w:fill="F4F3E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</w:p>
        </w:tc>
        <w:tc>
          <w:tcPr>
            <w:tcW w:type="dxa" w:w="1900"/>
            <w:tcBorders>
              <w:top w:val="single" w:color="D6D3CA" w:sz="4"/>
              <w:left w:val="single" w:color="D6D3CA" w:sz="4"/>
              <w:bottom w:val="single" w:color="D6D3CA" w:sz="4"/>
              <w:right w:val="single" w:color="D6D3CA" w:sz="4"/>
            </w:tcBorders>
            <w:shd w:fill="F4F3E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</w:p>
        </w:tc>
        <w:tc>
          <w:tcPr>
            <w:tcW w:type="dxa" w:w="1300"/>
            <w:tcBorders>
              <w:top w:val="single" w:color="D6D3CA" w:sz="4"/>
              <w:left w:val="single" w:color="D6D3CA" w:sz="4"/>
              <w:bottom w:val="single" w:color="D6D3CA" w:sz="4"/>
              <w:right w:val="single" w:color="D6D3CA" w:sz="4"/>
            </w:tcBorders>
            <w:shd w:fill="F4F3E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</w:p>
        </w:tc>
        <w:tc>
          <w:tcPr>
            <w:tcW w:type="dxa" w:w="1500"/>
            <w:tcBorders>
              <w:top w:val="single" w:color="D6D3CA" w:sz="4"/>
              <w:left w:val="single" w:color="D6D3CA" w:sz="4"/>
              <w:bottom w:val="single" w:color="D6D3CA" w:sz="4"/>
              <w:right w:val="single" w:color="D6D3CA" w:sz="4"/>
            </w:tcBorders>
            <w:shd w:fill="F4F3E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</w:p>
        </w:tc>
        <w:tc>
          <w:tcPr>
            <w:tcW w:type="dxa" w:w="2538"/>
            <w:tcBorders>
              <w:top w:val="single" w:color="D6D3CA" w:sz="4"/>
              <w:left w:val="single" w:color="D6D3CA" w:sz="4"/>
              <w:bottom w:val="single" w:color="D6D3CA" w:sz="4"/>
              <w:right w:val="single" w:color="D6D3CA" w:sz="4"/>
            </w:tcBorders>
            <w:shd w:fill="F4F3E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</w:p>
        </w:tc>
      </w:tr>
      <w:tr>
        <w:trPr>
          <w:cantSplit/>
        </w:trPr>
        <w:tc>
          <w:tcPr>
            <w:tcW w:type="dxa" w:w="2400"/>
            <w:tcBorders>
              <w:top w:val="single" w:color="D6D3CA" w:sz="4"/>
              <w:left w:val="single" w:color="D6D3CA" w:sz="4"/>
              <w:bottom w:val="single" w:color="D6D3CA" w:sz="4"/>
              <w:right w:val="single" w:color="D6D3C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</w:p>
        </w:tc>
        <w:tc>
          <w:tcPr>
            <w:tcW w:type="dxa" w:w="1900"/>
            <w:tcBorders>
              <w:top w:val="single" w:color="D6D3CA" w:sz="4"/>
              <w:left w:val="single" w:color="D6D3CA" w:sz="4"/>
              <w:bottom w:val="single" w:color="D6D3CA" w:sz="4"/>
              <w:right w:val="single" w:color="D6D3C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</w:p>
        </w:tc>
        <w:tc>
          <w:tcPr>
            <w:tcW w:type="dxa" w:w="1300"/>
            <w:tcBorders>
              <w:top w:val="single" w:color="D6D3CA" w:sz="4"/>
              <w:left w:val="single" w:color="D6D3CA" w:sz="4"/>
              <w:bottom w:val="single" w:color="D6D3CA" w:sz="4"/>
              <w:right w:val="single" w:color="D6D3C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</w:p>
        </w:tc>
        <w:tc>
          <w:tcPr>
            <w:tcW w:type="dxa" w:w="1500"/>
            <w:tcBorders>
              <w:top w:val="single" w:color="D6D3CA" w:sz="4"/>
              <w:left w:val="single" w:color="D6D3CA" w:sz="4"/>
              <w:bottom w:val="single" w:color="D6D3CA" w:sz="4"/>
              <w:right w:val="single" w:color="D6D3C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</w:p>
        </w:tc>
        <w:tc>
          <w:tcPr>
            <w:tcW w:type="dxa" w:w="2538"/>
            <w:tcBorders>
              <w:top w:val="single" w:color="D6D3CA" w:sz="4"/>
              <w:left w:val="single" w:color="D6D3CA" w:sz="4"/>
              <w:bottom w:val="single" w:color="D6D3CA" w:sz="4"/>
              <w:right w:val="single" w:color="D6D3C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</w:p>
        </w:tc>
      </w:tr>
      <w:tr>
        <w:trPr>
          <w:cantSplit/>
        </w:trPr>
        <w:tc>
          <w:tcPr>
            <w:tcW w:type="dxa" w:w="2400"/>
            <w:tcBorders>
              <w:top w:val="single" w:color="D6D3CA" w:sz="4"/>
              <w:left w:val="single" w:color="D6D3CA" w:sz="4"/>
              <w:bottom w:val="single" w:color="D6D3CA" w:sz="4"/>
              <w:right w:val="single" w:color="D6D3CA" w:sz="4"/>
            </w:tcBorders>
            <w:shd w:fill="F4F3E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</w:p>
        </w:tc>
        <w:tc>
          <w:tcPr>
            <w:tcW w:type="dxa" w:w="1900"/>
            <w:tcBorders>
              <w:top w:val="single" w:color="D6D3CA" w:sz="4"/>
              <w:left w:val="single" w:color="D6D3CA" w:sz="4"/>
              <w:bottom w:val="single" w:color="D6D3CA" w:sz="4"/>
              <w:right w:val="single" w:color="D6D3CA" w:sz="4"/>
            </w:tcBorders>
            <w:shd w:fill="F4F3E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</w:p>
        </w:tc>
        <w:tc>
          <w:tcPr>
            <w:tcW w:type="dxa" w:w="1300"/>
            <w:tcBorders>
              <w:top w:val="single" w:color="D6D3CA" w:sz="4"/>
              <w:left w:val="single" w:color="D6D3CA" w:sz="4"/>
              <w:bottom w:val="single" w:color="D6D3CA" w:sz="4"/>
              <w:right w:val="single" w:color="D6D3CA" w:sz="4"/>
            </w:tcBorders>
            <w:shd w:fill="F4F3E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</w:p>
        </w:tc>
        <w:tc>
          <w:tcPr>
            <w:tcW w:type="dxa" w:w="1500"/>
            <w:tcBorders>
              <w:top w:val="single" w:color="D6D3CA" w:sz="4"/>
              <w:left w:val="single" w:color="D6D3CA" w:sz="4"/>
              <w:bottom w:val="single" w:color="D6D3CA" w:sz="4"/>
              <w:right w:val="single" w:color="D6D3CA" w:sz="4"/>
            </w:tcBorders>
            <w:shd w:fill="F4F3E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</w:p>
        </w:tc>
        <w:tc>
          <w:tcPr>
            <w:tcW w:type="dxa" w:w="2538"/>
            <w:tcBorders>
              <w:top w:val="single" w:color="D6D3CA" w:sz="4"/>
              <w:left w:val="single" w:color="D6D3CA" w:sz="4"/>
              <w:bottom w:val="single" w:color="D6D3CA" w:sz="4"/>
              <w:right w:val="single" w:color="D6D3CA" w:sz="4"/>
            </w:tcBorders>
            <w:shd w:fill="F4F3E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</w:p>
        </w:tc>
      </w:tr>
      <w:tr>
        <w:trPr>
          <w:cantSplit/>
        </w:trPr>
        <w:tc>
          <w:tcPr>
            <w:tcW w:type="dxa" w:w="2400"/>
            <w:tcBorders>
              <w:top w:val="single" w:color="D6D3CA" w:sz="4"/>
              <w:left w:val="single" w:color="D6D3CA" w:sz="4"/>
              <w:bottom w:val="single" w:color="D6D3CA" w:sz="4"/>
              <w:right w:val="single" w:color="D6D3C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</w:p>
        </w:tc>
        <w:tc>
          <w:tcPr>
            <w:tcW w:type="dxa" w:w="1900"/>
            <w:tcBorders>
              <w:top w:val="single" w:color="D6D3CA" w:sz="4"/>
              <w:left w:val="single" w:color="D6D3CA" w:sz="4"/>
              <w:bottom w:val="single" w:color="D6D3CA" w:sz="4"/>
              <w:right w:val="single" w:color="D6D3C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</w:p>
        </w:tc>
        <w:tc>
          <w:tcPr>
            <w:tcW w:type="dxa" w:w="1300"/>
            <w:tcBorders>
              <w:top w:val="single" w:color="D6D3CA" w:sz="4"/>
              <w:left w:val="single" w:color="D6D3CA" w:sz="4"/>
              <w:bottom w:val="single" w:color="D6D3CA" w:sz="4"/>
              <w:right w:val="single" w:color="D6D3C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</w:p>
        </w:tc>
        <w:tc>
          <w:tcPr>
            <w:tcW w:type="dxa" w:w="1500"/>
            <w:tcBorders>
              <w:top w:val="single" w:color="D6D3CA" w:sz="4"/>
              <w:left w:val="single" w:color="D6D3CA" w:sz="4"/>
              <w:bottom w:val="single" w:color="D6D3CA" w:sz="4"/>
              <w:right w:val="single" w:color="D6D3C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</w:p>
        </w:tc>
        <w:tc>
          <w:tcPr>
            <w:tcW w:type="dxa" w:w="2538"/>
            <w:tcBorders>
              <w:top w:val="single" w:color="D6D3CA" w:sz="4"/>
              <w:left w:val="single" w:color="D6D3CA" w:sz="4"/>
              <w:bottom w:val="single" w:color="D6D3CA" w:sz="4"/>
              <w:right w:val="single" w:color="D6D3C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</w:p>
        </w:tc>
      </w:tr>
      <w:tr>
        <w:trPr>
          <w:cantSplit/>
        </w:trPr>
        <w:tc>
          <w:tcPr>
            <w:tcW w:type="dxa" w:w="2400"/>
            <w:tcBorders>
              <w:top w:val="single" w:color="D6D3CA" w:sz="4"/>
              <w:left w:val="single" w:color="D6D3CA" w:sz="4"/>
              <w:bottom w:val="single" w:color="D6D3CA" w:sz="4"/>
              <w:right w:val="single" w:color="D6D3CA" w:sz="4"/>
            </w:tcBorders>
            <w:shd w:fill="F4F3E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</w:p>
        </w:tc>
        <w:tc>
          <w:tcPr>
            <w:tcW w:type="dxa" w:w="1900"/>
            <w:tcBorders>
              <w:top w:val="single" w:color="D6D3CA" w:sz="4"/>
              <w:left w:val="single" w:color="D6D3CA" w:sz="4"/>
              <w:bottom w:val="single" w:color="D6D3CA" w:sz="4"/>
              <w:right w:val="single" w:color="D6D3CA" w:sz="4"/>
            </w:tcBorders>
            <w:shd w:fill="F4F3E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</w:p>
        </w:tc>
        <w:tc>
          <w:tcPr>
            <w:tcW w:type="dxa" w:w="1300"/>
            <w:tcBorders>
              <w:top w:val="single" w:color="D6D3CA" w:sz="4"/>
              <w:left w:val="single" w:color="D6D3CA" w:sz="4"/>
              <w:bottom w:val="single" w:color="D6D3CA" w:sz="4"/>
              <w:right w:val="single" w:color="D6D3CA" w:sz="4"/>
            </w:tcBorders>
            <w:shd w:fill="F4F3E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</w:p>
        </w:tc>
        <w:tc>
          <w:tcPr>
            <w:tcW w:type="dxa" w:w="1500"/>
            <w:tcBorders>
              <w:top w:val="single" w:color="D6D3CA" w:sz="4"/>
              <w:left w:val="single" w:color="D6D3CA" w:sz="4"/>
              <w:bottom w:val="single" w:color="D6D3CA" w:sz="4"/>
              <w:right w:val="single" w:color="D6D3CA" w:sz="4"/>
            </w:tcBorders>
            <w:shd w:fill="F4F3E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</w:p>
        </w:tc>
        <w:tc>
          <w:tcPr>
            <w:tcW w:type="dxa" w:w="2538"/>
            <w:tcBorders>
              <w:top w:val="single" w:color="D6D3CA" w:sz="4"/>
              <w:left w:val="single" w:color="D6D3CA" w:sz="4"/>
              <w:bottom w:val="single" w:color="D6D3CA" w:sz="4"/>
              <w:right w:val="single" w:color="D6D3CA" w:sz="4"/>
            </w:tcBorders>
            <w:shd w:fill="F4F3E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</w:p>
        </w:tc>
      </w:tr>
      <w:tr>
        <w:trPr>
          <w:cantSplit/>
        </w:trPr>
        <w:tc>
          <w:tcPr>
            <w:tcW w:type="dxa" w:w="2400"/>
            <w:tcBorders>
              <w:top w:val="single" w:color="D6D3CA" w:sz="4"/>
              <w:left w:val="single" w:color="D6D3CA" w:sz="4"/>
              <w:bottom w:val="single" w:color="D6D3CA" w:sz="4"/>
              <w:right w:val="single" w:color="D6D3C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</w:p>
        </w:tc>
        <w:tc>
          <w:tcPr>
            <w:tcW w:type="dxa" w:w="1900"/>
            <w:tcBorders>
              <w:top w:val="single" w:color="D6D3CA" w:sz="4"/>
              <w:left w:val="single" w:color="D6D3CA" w:sz="4"/>
              <w:bottom w:val="single" w:color="D6D3CA" w:sz="4"/>
              <w:right w:val="single" w:color="D6D3C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</w:p>
        </w:tc>
        <w:tc>
          <w:tcPr>
            <w:tcW w:type="dxa" w:w="1300"/>
            <w:tcBorders>
              <w:top w:val="single" w:color="D6D3CA" w:sz="4"/>
              <w:left w:val="single" w:color="D6D3CA" w:sz="4"/>
              <w:bottom w:val="single" w:color="D6D3CA" w:sz="4"/>
              <w:right w:val="single" w:color="D6D3C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</w:p>
        </w:tc>
        <w:tc>
          <w:tcPr>
            <w:tcW w:type="dxa" w:w="1500"/>
            <w:tcBorders>
              <w:top w:val="single" w:color="D6D3CA" w:sz="4"/>
              <w:left w:val="single" w:color="D6D3CA" w:sz="4"/>
              <w:bottom w:val="single" w:color="D6D3CA" w:sz="4"/>
              <w:right w:val="single" w:color="D6D3C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</w:p>
        </w:tc>
        <w:tc>
          <w:tcPr>
            <w:tcW w:type="dxa" w:w="2538"/>
            <w:tcBorders>
              <w:top w:val="single" w:color="D6D3CA" w:sz="4"/>
              <w:left w:val="single" w:color="D6D3CA" w:sz="4"/>
              <w:bottom w:val="single" w:color="D6D3CA" w:sz="4"/>
              <w:right w:val="single" w:color="D6D3C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</w:p>
        </w:tc>
      </w:tr>
      <w:tr>
        <w:trPr>
          <w:cantSplit/>
        </w:trPr>
        <w:tc>
          <w:tcPr>
            <w:tcW w:type="dxa" w:w="2400"/>
            <w:tcBorders>
              <w:top w:val="single" w:color="D6D3CA" w:sz="4"/>
              <w:left w:val="single" w:color="D6D3CA" w:sz="4"/>
              <w:bottom w:val="single" w:color="D6D3CA" w:sz="4"/>
              <w:right w:val="single" w:color="D6D3CA" w:sz="4"/>
            </w:tcBorders>
            <w:shd w:fill="F4F3E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</w:p>
        </w:tc>
        <w:tc>
          <w:tcPr>
            <w:tcW w:type="dxa" w:w="1900"/>
            <w:tcBorders>
              <w:top w:val="single" w:color="D6D3CA" w:sz="4"/>
              <w:left w:val="single" w:color="D6D3CA" w:sz="4"/>
              <w:bottom w:val="single" w:color="D6D3CA" w:sz="4"/>
              <w:right w:val="single" w:color="D6D3CA" w:sz="4"/>
            </w:tcBorders>
            <w:shd w:fill="F4F3E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</w:p>
        </w:tc>
        <w:tc>
          <w:tcPr>
            <w:tcW w:type="dxa" w:w="1300"/>
            <w:tcBorders>
              <w:top w:val="single" w:color="D6D3CA" w:sz="4"/>
              <w:left w:val="single" w:color="D6D3CA" w:sz="4"/>
              <w:bottom w:val="single" w:color="D6D3CA" w:sz="4"/>
              <w:right w:val="single" w:color="D6D3CA" w:sz="4"/>
            </w:tcBorders>
            <w:shd w:fill="F4F3E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</w:p>
        </w:tc>
        <w:tc>
          <w:tcPr>
            <w:tcW w:type="dxa" w:w="1500"/>
            <w:tcBorders>
              <w:top w:val="single" w:color="D6D3CA" w:sz="4"/>
              <w:left w:val="single" w:color="D6D3CA" w:sz="4"/>
              <w:bottom w:val="single" w:color="D6D3CA" w:sz="4"/>
              <w:right w:val="single" w:color="D6D3CA" w:sz="4"/>
            </w:tcBorders>
            <w:shd w:fill="F4F3E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</w:p>
        </w:tc>
        <w:tc>
          <w:tcPr>
            <w:tcW w:type="dxa" w:w="2538"/>
            <w:tcBorders>
              <w:top w:val="single" w:color="D6D3CA" w:sz="4"/>
              <w:left w:val="single" w:color="D6D3CA" w:sz="4"/>
              <w:bottom w:val="single" w:color="D6D3CA" w:sz="4"/>
              <w:right w:val="single" w:color="D6D3CA" w:sz="4"/>
            </w:tcBorders>
            <w:shd w:fill="F4F3E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</w:p>
        </w:tc>
      </w:tr>
      <w:tr>
        <w:trPr>
          <w:cantSplit/>
        </w:trPr>
        <w:tc>
          <w:tcPr>
            <w:tcW w:type="dxa" w:w="2400"/>
            <w:tcBorders>
              <w:top w:val="single" w:color="D6D3CA" w:sz="4"/>
              <w:left w:val="single" w:color="D6D3CA" w:sz="4"/>
              <w:bottom w:val="single" w:color="D6D3CA" w:sz="4"/>
              <w:right w:val="single" w:color="D6D3C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</w:p>
        </w:tc>
        <w:tc>
          <w:tcPr>
            <w:tcW w:type="dxa" w:w="1900"/>
            <w:tcBorders>
              <w:top w:val="single" w:color="D6D3CA" w:sz="4"/>
              <w:left w:val="single" w:color="D6D3CA" w:sz="4"/>
              <w:bottom w:val="single" w:color="D6D3CA" w:sz="4"/>
              <w:right w:val="single" w:color="D6D3C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</w:p>
        </w:tc>
        <w:tc>
          <w:tcPr>
            <w:tcW w:type="dxa" w:w="1300"/>
            <w:tcBorders>
              <w:top w:val="single" w:color="D6D3CA" w:sz="4"/>
              <w:left w:val="single" w:color="D6D3CA" w:sz="4"/>
              <w:bottom w:val="single" w:color="D6D3CA" w:sz="4"/>
              <w:right w:val="single" w:color="D6D3C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</w:p>
        </w:tc>
        <w:tc>
          <w:tcPr>
            <w:tcW w:type="dxa" w:w="1500"/>
            <w:tcBorders>
              <w:top w:val="single" w:color="D6D3CA" w:sz="4"/>
              <w:left w:val="single" w:color="D6D3CA" w:sz="4"/>
              <w:bottom w:val="single" w:color="D6D3CA" w:sz="4"/>
              <w:right w:val="single" w:color="D6D3C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</w:p>
        </w:tc>
        <w:tc>
          <w:tcPr>
            <w:tcW w:type="dxa" w:w="2538"/>
            <w:tcBorders>
              <w:top w:val="single" w:color="D6D3CA" w:sz="4"/>
              <w:left w:val="single" w:color="D6D3CA" w:sz="4"/>
              <w:bottom w:val="single" w:color="D6D3CA" w:sz="4"/>
              <w:right w:val="single" w:color="D6D3C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</w:p>
        </w:tc>
      </w:tr>
      <w:tr>
        <w:trPr>
          <w:cantSplit/>
        </w:trPr>
        <w:tc>
          <w:tcPr>
            <w:tcW w:type="dxa" w:w="2400"/>
            <w:tcBorders>
              <w:top w:val="single" w:color="D6D3CA" w:sz="4"/>
              <w:left w:val="single" w:color="D6D3CA" w:sz="4"/>
              <w:bottom w:val="single" w:color="D6D3CA" w:sz="4"/>
              <w:right w:val="single" w:color="D6D3CA" w:sz="4"/>
            </w:tcBorders>
            <w:shd w:fill="F4F3E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</w:p>
        </w:tc>
        <w:tc>
          <w:tcPr>
            <w:tcW w:type="dxa" w:w="1900"/>
            <w:tcBorders>
              <w:top w:val="single" w:color="D6D3CA" w:sz="4"/>
              <w:left w:val="single" w:color="D6D3CA" w:sz="4"/>
              <w:bottom w:val="single" w:color="D6D3CA" w:sz="4"/>
              <w:right w:val="single" w:color="D6D3CA" w:sz="4"/>
            </w:tcBorders>
            <w:shd w:fill="F4F3E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</w:p>
        </w:tc>
        <w:tc>
          <w:tcPr>
            <w:tcW w:type="dxa" w:w="1300"/>
            <w:tcBorders>
              <w:top w:val="single" w:color="D6D3CA" w:sz="4"/>
              <w:left w:val="single" w:color="D6D3CA" w:sz="4"/>
              <w:bottom w:val="single" w:color="D6D3CA" w:sz="4"/>
              <w:right w:val="single" w:color="D6D3CA" w:sz="4"/>
            </w:tcBorders>
            <w:shd w:fill="F4F3E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</w:p>
        </w:tc>
        <w:tc>
          <w:tcPr>
            <w:tcW w:type="dxa" w:w="1500"/>
            <w:tcBorders>
              <w:top w:val="single" w:color="D6D3CA" w:sz="4"/>
              <w:left w:val="single" w:color="D6D3CA" w:sz="4"/>
              <w:bottom w:val="single" w:color="D6D3CA" w:sz="4"/>
              <w:right w:val="single" w:color="D6D3CA" w:sz="4"/>
            </w:tcBorders>
            <w:shd w:fill="F4F3E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</w:p>
        </w:tc>
        <w:tc>
          <w:tcPr>
            <w:tcW w:type="dxa" w:w="2538"/>
            <w:tcBorders>
              <w:top w:val="single" w:color="D6D3CA" w:sz="4"/>
              <w:left w:val="single" w:color="D6D3CA" w:sz="4"/>
              <w:bottom w:val="single" w:color="D6D3CA" w:sz="4"/>
              <w:right w:val="single" w:color="D6D3CA" w:sz="4"/>
            </w:tcBorders>
            <w:shd w:fill="F4F3E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</w:p>
        </w:tc>
      </w:tr>
      <w:tr>
        <w:trPr>
          <w:cantSplit/>
        </w:trPr>
        <w:tc>
          <w:tcPr>
            <w:tcW w:type="dxa" w:w="2400"/>
            <w:tcBorders>
              <w:top w:val="single" w:color="D6D3CA" w:sz="4"/>
              <w:left w:val="single" w:color="D6D3CA" w:sz="4"/>
              <w:bottom w:val="single" w:color="D6D3CA" w:sz="4"/>
              <w:right w:val="single" w:color="D6D3C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</w:p>
        </w:tc>
        <w:tc>
          <w:tcPr>
            <w:tcW w:type="dxa" w:w="1900"/>
            <w:tcBorders>
              <w:top w:val="single" w:color="D6D3CA" w:sz="4"/>
              <w:left w:val="single" w:color="D6D3CA" w:sz="4"/>
              <w:bottom w:val="single" w:color="D6D3CA" w:sz="4"/>
              <w:right w:val="single" w:color="D6D3C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</w:p>
        </w:tc>
        <w:tc>
          <w:tcPr>
            <w:tcW w:type="dxa" w:w="1300"/>
            <w:tcBorders>
              <w:top w:val="single" w:color="D6D3CA" w:sz="4"/>
              <w:left w:val="single" w:color="D6D3CA" w:sz="4"/>
              <w:bottom w:val="single" w:color="D6D3CA" w:sz="4"/>
              <w:right w:val="single" w:color="D6D3C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</w:p>
        </w:tc>
        <w:tc>
          <w:tcPr>
            <w:tcW w:type="dxa" w:w="1500"/>
            <w:tcBorders>
              <w:top w:val="single" w:color="D6D3CA" w:sz="4"/>
              <w:left w:val="single" w:color="D6D3CA" w:sz="4"/>
              <w:bottom w:val="single" w:color="D6D3CA" w:sz="4"/>
              <w:right w:val="single" w:color="D6D3C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</w:p>
        </w:tc>
        <w:tc>
          <w:tcPr>
            <w:tcW w:type="dxa" w:w="2538"/>
            <w:tcBorders>
              <w:top w:val="single" w:color="D6D3CA" w:sz="4"/>
              <w:left w:val="single" w:color="D6D3CA" w:sz="4"/>
              <w:bottom w:val="single" w:color="D6D3CA" w:sz="4"/>
              <w:right w:val="single" w:color="D6D3C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</w:p>
        </w:tc>
      </w:tr>
      <w:tr>
        <w:trPr>
          <w:cantSplit/>
        </w:trPr>
        <w:tc>
          <w:tcPr>
            <w:tcW w:type="dxa" w:w="2400"/>
            <w:tcBorders>
              <w:top w:val="single" w:color="D6D3CA" w:sz="4"/>
              <w:left w:val="single" w:color="D6D3CA" w:sz="4"/>
              <w:bottom w:val="single" w:color="D6D3CA" w:sz="4"/>
              <w:right w:val="single" w:color="D6D3CA" w:sz="4"/>
            </w:tcBorders>
            <w:shd w:fill="F4F3E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</w:p>
        </w:tc>
        <w:tc>
          <w:tcPr>
            <w:tcW w:type="dxa" w:w="1900"/>
            <w:tcBorders>
              <w:top w:val="single" w:color="D6D3CA" w:sz="4"/>
              <w:left w:val="single" w:color="D6D3CA" w:sz="4"/>
              <w:bottom w:val="single" w:color="D6D3CA" w:sz="4"/>
              <w:right w:val="single" w:color="D6D3CA" w:sz="4"/>
            </w:tcBorders>
            <w:shd w:fill="F4F3E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</w:p>
        </w:tc>
        <w:tc>
          <w:tcPr>
            <w:tcW w:type="dxa" w:w="1300"/>
            <w:tcBorders>
              <w:top w:val="single" w:color="D6D3CA" w:sz="4"/>
              <w:left w:val="single" w:color="D6D3CA" w:sz="4"/>
              <w:bottom w:val="single" w:color="D6D3CA" w:sz="4"/>
              <w:right w:val="single" w:color="D6D3CA" w:sz="4"/>
            </w:tcBorders>
            <w:shd w:fill="F4F3E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</w:p>
        </w:tc>
        <w:tc>
          <w:tcPr>
            <w:tcW w:type="dxa" w:w="1500"/>
            <w:tcBorders>
              <w:top w:val="single" w:color="D6D3CA" w:sz="4"/>
              <w:left w:val="single" w:color="D6D3CA" w:sz="4"/>
              <w:bottom w:val="single" w:color="D6D3CA" w:sz="4"/>
              <w:right w:val="single" w:color="D6D3CA" w:sz="4"/>
            </w:tcBorders>
            <w:shd w:fill="F4F3E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</w:p>
        </w:tc>
        <w:tc>
          <w:tcPr>
            <w:tcW w:type="dxa" w:w="2538"/>
            <w:tcBorders>
              <w:top w:val="single" w:color="D6D3CA" w:sz="4"/>
              <w:left w:val="single" w:color="D6D3CA" w:sz="4"/>
              <w:bottom w:val="single" w:color="D6D3CA" w:sz="4"/>
              <w:right w:val="single" w:color="D6D3CA" w:sz="4"/>
            </w:tcBorders>
            <w:shd w:fill="F4F3E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</w:p>
        </w:tc>
      </w:tr>
      <w:tr>
        <w:trPr>
          <w:cantSplit/>
        </w:trPr>
        <w:tc>
          <w:tcPr>
            <w:tcW w:type="dxa" w:w="2400"/>
            <w:tcBorders>
              <w:top w:val="single" w:color="D6D3CA" w:sz="4"/>
              <w:left w:val="single" w:color="D6D3CA" w:sz="4"/>
              <w:bottom w:val="single" w:color="D6D3CA" w:sz="4"/>
              <w:right w:val="single" w:color="D6D3C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</w:p>
        </w:tc>
        <w:tc>
          <w:tcPr>
            <w:tcW w:type="dxa" w:w="1900"/>
            <w:tcBorders>
              <w:top w:val="single" w:color="D6D3CA" w:sz="4"/>
              <w:left w:val="single" w:color="D6D3CA" w:sz="4"/>
              <w:bottom w:val="single" w:color="D6D3CA" w:sz="4"/>
              <w:right w:val="single" w:color="D6D3C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</w:p>
        </w:tc>
        <w:tc>
          <w:tcPr>
            <w:tcW w:type="dxa" w:w="1300"/>
            <w:tcBorders>
              <w:top w:val="single" w:color="D6D3CA" w:sz="4"/>
              <w:left w:val="single" w:color="D6D3CA" w:sz="4"/>
              <w:bottom w:val="single" w:color="D6D3CA" w:sz="4"/>
              <w:right w:val="single" w:color="D6D3C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</w:p>
        </w:tc>
        <w:tc>
          <w:tcPr>
            <w:tcW w:type="dxa" w:w="1500"/>
            <w:tcBorders>
              <w:top w:val="single" w:color="D6D3CA" w:sz="4"/>
              <w:left w:val="single" w:color="D6D3CA" w:sz="4"/>
              <w:bottom w:val="single" w:color="D6D3CA" w:sz="4"/>
              <w:right w:val="single" w:color="D6D3C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</w:p>
        </w:tc>
        <w:tc>
          <w:tcPr>
            <w:tcW w:type="dxa" w:w="2538"/>
            <w:tcBorders>
              <w:top w:val="single" w:color="D6D3CA" w:sz="4"/>
              <w:left w:val="single" w:color="D6D3CA" w:sz="4"/>
              <w:bottom w:val="single" w:color="D6D3CA" w:sz="4"/>
              <w:right w:val="single" w:color="D6D3C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</w:p>
        </w:tc>
      </w:tr>
      <w:tr>
        <w:trPr>
          <w:cantSplit/>
        </w:trPr>
        <w:tc>
          <w:tcPr>
            <w:tcW w:type="dxa" w:w="2400"/>
            <w:tcBorders>
              <w:top w:val="single" w:color="D6D3CA" w:sz="4"/>
              <w:left w:val="single" w:color="D6D3CA" w:sz="4"/>
              <w:bottom w:val="single" w:color="D6D3CA" w:sz="4"/>
              <w:right w:val="single" w:color="D6D3CA" w:sz="4"/>
            </w:tcBorders>
            <w:shd w:fill="F4F3E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</w:p>
        </w:tc>
        <w:tc>
          <w:tcPr>
            <w:tcW w:type="dxa" w:w="1900"/>
            <w:tcBorders>
              <w:top w:val="single" w:color="D6D3CA" w:sz="4"/>
              <w:left w:val="single" w:color="D6D3CA" w:sz="4"/>
              <w:bottom w:val="single" w:color="D6D3CA" w:sz="4"/>
              <w:right w:val="single" w:color="D6D3CA" w:sz="4"/>
            </w:tcBorders>
            <w:shd w:fill="F4F3E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</w:p>
        </w:tc>
        <w:tc>
          <w:tcPr>
            <w:tcW w:type="dxa" w:w="1300"/>
            <w:tcBorders>
              <w:top w:val="single" w:color="D6D3CA" w:sz="4"/>
              <w:left w:val="single" w:color="D6D3CA" w:sz="4"/>
              <w:bottom w:val="single" w:color="D6D3CA" w:sz="4"/>
              <w:right w:val="single" w:color="D6D3CA" w:sz="4"/>
            </w:tcBorders>
            <w:shd w:fill="F4F3E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</w:p>
        </w:tc>
        <w:tc>
          <w:tcPr>
            <w:tcW w:type="dxa" w:w="1500"/>
            <w:tcBorders>
              <w:top w:val="single" w:color="D6D3CA" w:sz="4"/>
              <w:left w:val="single" w:color="D6D3CA" w:sz="4"/>
              <w:bottom w:val="single" w:color="D6D3CA" w:sz="4"/>
              <w:right w:val="single" w:color="D6D3CA" w:sz="4"/>
            </w:tcBorders>
            <w:shd w:fill="F4F3E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</w:p>
        </w:tc>
        <w:tc>
          <w:tcPr>
            <w:tcW w:type="dxa" w:w="2538"/>
            <w:tcBorders>
              <w:top w:val="single" w:color="D6D3CA" w:sz="4"/>
              <w:left w:val="single" w:color="D6D3CA" w:sz="4"/>
              <w:bottom w:val="single" w:color="D6D3CA" w:sz="4"/>
              <w:right w:val="single" w:color="D6D3CA" w:sz="4"/>
            </w:tcBorders>
            <w:shd w:fill="F4F3E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</w:p>
        </w:tc>
      </w:tr>
    </w:tbl>
    <w:p>
      <w:pPr>
        <w:pStyle w:val="Heading1"/>
        <w:pageBreakBefore/>
      </w:pPr>
      <w:r>
        <w:t xml:space="preserve">Part D: Checks before you apply for Cyber Essentials</w:t>
      </w:r>
    </w:p>
    <w:p>
      <w:pPr>
        <w:keepNext/>
        <w:spacing w:after="140" w:before="0"/>
      </w:pPr>
      <w:r>
        <w:t xml:space="preserve">Cyber Essentials certifies controls, not documents. Before you apply, confirm that: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b/>
          <w:bCs/>
        </w:rPr>
        <w:t xml:space="preserve">MFA on every cloud service that offers it.</w:t>
      </w:r>
      <w:r>
        <w:t xml:space="preserve"> Under the Danzell question set (v3.3, in force since 27 April 2026), a cloud service without MFA where the service offers it fails the whole assessment on its own.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b/>
          <w:bCs/>
        </w:rPr>
        <w:t xml:space="preserve">High-risk and critical updates installed within 14 days.</w:t>
      </w:r>
      <w:r>
        <w:t xml:space="preserve"> A missed high-risk or critical update also fails the whole assessment on its own, so check section 7 is true on every in-scope device.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b/>
          <w:bCs/>
        </w:rPr>
        <w:t xml:space="preserve">A documented process behind the answers that need one</w:t>
      </w:r>
      <w:r>
        <w:t xml:space="preserve">, such as how new accounts are approved and the business reason recorded for each inbound firewall rule.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b/>
          <w:bCs/>
        </w:rPr>
        <w:t xml:space="preserve">Sections 4 to 9 true everywhere they apply</w:t>
      </w:r>
      <w:r>
        <w:t xml:space="preserve">, including home workers' laptops, phones and any personal devices that access company email or data.</w:t>
      </w:r>
    </w:p>
    <w:p>
      <w:pPr>
        <w:spacing w:after="140" w:before="120"/>
      </w:pPr>
      <w:r>
        <w:t xml:space="preserve">Work through our Cyber Essentials checklist at </w:t>
      </w:r>
      <w:hyperlink w:history="1" r:id="rIdbvpgghezebwcx9bhozngi">
        <w:r>
          <w:rPr>
            <w:rStyle w:val="Hyperlink"/>
          </w:rPr>
          <w:t xml:space="preserve">sovereignsecure.co.uk/cyber-essentials-checklist/</w:t>
        </w:r>
      </w:hyperlink>
      <w:r>
        <w:t xml:space="preserve">, then confirm what your certificate should cover with our free scoping questionnaire at </w:t>
      </w:r>
      <w:hyperlink w:history="1" r:id="rIdkpthtmoqnavc8bn6ckvpf">
        <w:r>
          <w:rPr>
            <w:rStyle w:val="Hyperlink"/>
          </w:rPr>
          <w:t xml:space="preserve">sovereignsecure.co.uk/cyber-essentials-scoping-questionnaire/</w:t>
        </w:r>
      </w:hyperlink>
      <w:r>
        <w:t xml:space="preserve">. Cyber Essentials packages start at £320 + VAT.</w:t>
      </w:r>
    </w:p>
    <w:sectPr>
      <w:footerReference w:type="default" r:id="rId6"/>
      <w:pgSz w:w="11906" w:h="16838" w:orient="portrait"/>
      <w:pgMar w:top="1134" w:right="1134" w:bottom="1134" w:left="1134" w:header="708" w:footer="56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02840" w:sz="6" w:space="6"/>
      </w:pBdr>
      <w:spacing w:after="0" w:before="0"/>
    </w:pPr>
    <w:r>
      <w:rPr>
        <w:color w:val="5B6770"/>
        <w:sz w:val="16"/>
        <w:szCs w:val="16"/>
      </w:rPr>
      <w:t xml:space="preserve">Cyber security policy template  |  Sovereign Secure Ltd  |  sovereignsecure.co.uk</w:t>
    </w:r>
    <w:r>
      <w:ptab w:alignment="right" w:relativeTo="margin" w:leader="none"/>
    </w:r>
    <w:r>
      <w:rPr>
        <w:color w:val="5B6770"/>
        <w:sz w:val="16"/>
        <w:szCs w:val="16"/>
      </w:rPr>
      <w:t xml:space="preserve">Page </w:t>
      <w:fldChar w:fldCharType="begin"/>
      <w:instrText xml:space="preserve">PAGE</w:instrText>
      <w:fldChar w:fldCharType="separate"/>
      <w:fldChar w:fldCharType="end"/>
      <w:t xml:space="preserve"> of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00" w:hanging="260"/>
      </w:pPr>
      <w:rPr>
        <w:color w:val="E02840"/>
      </w:r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320"/>
      </w:pPr>
      <w:rPr>
        <w:b/>
        <w:bCs/>
        <w:color w:val="102838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E2A33"/>
        <w:sz w:val="21"/>
        <w:szCs w:val="21"/>
        <w:lang w:val="en-GB"/>
      </w:rPr>
    </w:rPrDefault>
    <w:pPrDefault>
      <w:pPr>
        <w:spacing w:after="140" w:line="264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keepLines/>
      <w:spacing w:after="160" w:before="360"/>
      <w:outlineLvl w:val="0"/>
    </w:pPr>
    <w:rPr>
      <w:rFonts w:ascii="Calibri" w:cs="Calibri" w:eastAsia="Calibri" w:hAnsi="Calibri"/>
      <w:b/>
      <w:bCs/>
      <w:color w:val="102838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keepLines/>
      <w:spacing w:after="100" w:before="260"/>
      <w:outlineLvl w:val="1"/>
    </w:pPr>
    <w:rPr>
      <w:rFonts w:ascii="Calibri" w:cs="Calibri" w:eastAsia="Calibri" w:hAnsi="Calibri"/>
      <w:b/>
      <w:bCs/>
      <w:color w:val="102838"/>
      <w:sz w:val="25"/>
      <w:szCs w:val="25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pxocrjp4_cfcfm55abvy3" Type="http://schemas.openxmlformats.org/officeDocument/2006/relationships/hyperlink" Target="https://sovereignsecure.co.uk/" TargetMode="External"/><Relationship Id="rId-tu8skawtz_s_sbwiga6x" Type="http://schemas.openxmlformats.org/officeDocument/2006/relationships/hyperlink" Target="https://sovereignsecure.co.uk/cyber-security-policy-template/" TargetMode="External"/><Relationship Id="rIdqdtbqacneuisiyuum_nqc" Type="http://schemas.openxmlformats.org/officeDocument/2006/relationships/hyperlink" Target="https://sovereignsecure.co.uk/cyber-essentials-readiness-check/" TargetMode="External"/><Relationship Id="rIdtgbq8ptzh4r_lbl5v6uhr" Type="http://schemas.openxmlformats.org/officeDocument/2006/relationships/hyperlink" Target="https://ico.org.uk/for-organisations/uk-gdpr-guidance-and-resources/security/a-guide-to-data-security/" TargetMode="External"/><Relationship Id="rId5rk1nav0g5ml7kdiizkak" Type="http://schemas.openxmlformats.org/officeDocument/2006/relationships/hyperlink" Target="https://www.ncsc.gov.uk/cyberessentials/resources" TargetMode="External"/><Relationship Id="rIdpolyrykzxxhe-hdpwdcim" Type="http://schemas.openxmlformats.org/officeDocument/2006/relationships/hyperlink" Target="https://sovereignsecure.co.uk/cyber-essentials-password-policy/" TargetMode="External"/><Relationship Id="rId5up7kbmg5u-uqkcf4r0d-" Type="http://schemas.openxmlformats.org/officeDocument/2006/relationships/hyperlink" Target="https://sovereignsecure.co.uk/incident-response-plan-template/" TargetMode="External"/><Relationship Id="rIdbvpgghezebwcx9bhozngi" Type="http://schemas.openxmlformats.org/officeDocument/2006/relationships/hyperlink" Target="https://sovereignsecure.co.uk/cyber-essentials-checklist/" TargetMode="External"/><Relationship Id="rIdkpthtmoqnavc8bn6ckvpf" Type="http://schemas.openxmlformats.org/officeDocument/2006/relationships/hyperlink" Target="https://sovereignsecure.co.uk/cyber-essentials-scoping-questionnaire/" TargetMode="External"/><Relationship Id="rId17" Type="http://schemas.openxmlformats.org/officeDocument/2006/relationships/image" Target="media/728fc2a3bf8c8af21db16c83d499e1c1a95b6c0f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Cyber Security Policy Template</dc:title>
  <dc:subject>Cyber security policy template for small businesses, mapped to Cyber Essentials</dc:subject>
  <dc:creator>Sovereign Secure Ltd</dc:creator>
  <cp:keywords>cyber security policy template, IT security policy template, small business, Cyber Essentials</cp:keywords>
  <dc:description>Free cyber security policy template from sovereignsecure.co.uk, version October 2026.</dc:description>
  <cp:lastModifiedBy>Sovereign Secure Ltd</cp:lastModifiedBy>
  <cp:revision>1</cp:revision>
  <dcterms:created xsi:type="dcterms:W3CDTF">2026-10-13T10:59:54.880Z</dcterms:created>
  <dcterms:modified xsi:type="dcterms:W3CDTF">2026-10-13T10:59:54.880Z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