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80" w:before="0"/>
      </w:pPr>
      <w:r>
        <w:drawing>
          <wp:inline distT="0" distB="0" distL="0" distR="0">
            <wp:extent cx="2095500" cy="552450"/>
            <wp:effectExtent t="0" r="0" b="0" l="0"/>
            <wp:docPr id="1" name="Sovereign Secure logo" descr="Sovereign Secure logo" title="Sovereign Sec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095500" cy="552450"/>
                    </a:xfrm>
                    <a:prstGeom prst="rect">
                      <a:avLst/>
                    </a:prstGeom>
                  </pic:spPr>
                </pic:pic>
              </a:graphicData>
            </a:graphic>
          </wp:inline>
        </w:drawing>
      </w:r>
    </w:p>
    <w:p>
      <w:pPr>
        <w:spacing w:after="80"/>
      </w:pPr>
      <w:r>
        <w:rPr>
          <w:b/>
          <w:bCs/>
          <w:color w:val="E02840"/>
          <w:spacing w:val="20"/>
          <w:sz w:val="20"/>
          <w:szCs w:val="20"/>
        </w:rPr>
        <w:t xml:space="preserve">FREE ISO 27001 TOOLKIT</w:t>
      </w:r>
    </w:p>
    <w:p>
      <w:pPr>
        <w:spacing w:after="120"/>
      </w:pPr>
      <w:r>
        <w:rPr>
          <w:b/>
          <w:bCs/>
          <w:color w:val="102838"/>
          <w:sz w:val="52"/>
          <w:szCs w:val="52"/>
        </w:rPr>
        <w:t xml:space="preserve">Cryptography Policy Template</w:t>
      </w:r>
    </w:p>
    <w:p>
      <w:pPr>
        <w:spacing w:after="120"/>
      </w:pPr>
      <w:r>
        <w:rPr>
          <w:color w:val="5B6770"/>
          <w:sz w:val="24"/>
          <w:szCs w:val="24"/>
        </w:rPr>
        <w:t xml:space="preserve">A topic-specific policy for ISO/IEC 27001:2022, supporting Annex A control 8.24 on the use of cryptography and key management</w:t>
      </w:r>
    </w:p>
    <w:p>
      <w:pPr>
        <w:pBdr>
          <w:bottom w:val="single" w:color="E02840" w:sz="18" w:space="1"/>
        </w:pBdr>
        <w:spacing w:after="240" w:before="0"/>
      </w:pPr>
    </w:p>
    <w:p>
      <w:pPr>
        <w:spacing w:after="60"/>
      </w:pPr>
      <w:r>
        <w:rPr>
          <w:b/>
          <w:bCs/>
          <w:color w:val="E02840"/>
        </w:rPr>
        <w:t xml:space="preserve">Version  </w:t>
      </w:r>
      <w:r>
        <w:t xml:space="preserve">October 2026</w:t>
      </w:r>
    </w:p>
    <w:p>
      <w:pPr>
        <w:spacing w:after="60"/>
      </w:pPr>
      <w:r>
        <w:rPr>
          <w:b/>
          <w:bCs/>
          <w:color w:val="E02840"/>
        </w:rPr>
        <w:t xml:space="preserve">Published by  </w:t>
      </w:r>
      <w:r>
        <w:t xml:space="preserve">Sovereign Secure Ltd, </w:t>
      </w:r>
      <w:hyperlink w:history="1" r:id="rIduhham8zf_kuob2dfa46t_">
        <w:r>
          <w:rPr>
            <w:rStyle w:val="Hyperlink"/>
          </w:rPr>
          <w:t xml:space="preserve">sovereignsecure.co.uk</w:t>
        </w:r>
      </w:hyperlink>
    </w:p>
    <w:p>
      <w:pPr>
        <w:spacing w:after="360"/>
      </w:pPr>
      <w:r>
        <w:rPr>
          <w:b/>
          <w:bCs/>
          <w:color w:val="E02840"/>
        </w:rPr>
        <w:t xml:space="preserve">Help  </w:t>
      </w:r>
      <w:r>
        <w:t xml:space="preserve">+44 161 523 5276  |  contactus@sovereignsecure.co.uk</w:t>
      </w:r>
    </w:p>
    <w:p>
      <w:pPr>
        <w:pStyle w:val="Heading1"/>
      </w:pPr>
      <w:r>
        <w:t xml:space="preserve">About this template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What it is</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A free, editable cryptography and key management policy for small and mid-sized organisations working towards ISO/IEC 27001:2022. It sets out where encryption must be used, which algorithms and protocols are approved, and how keys and certificates are created, stored, rotated, recovered and destroyed. It is one of the topic-specific policies that Annex A control 5.1 expects. It accompanies our free ISO 27001 toolkit at </w:t>
            </w:r>
            <w:hyperlink w:history="1" r:id="rIdcicmjiqhi3wa5xw_emh4h">
              <w:r>
                <w:rPr>
                  <w:rStyle w:val="Hyperlink"/>
                  <w:sz w:val="20"/>
                  <w:szCs w:val="20"/>
                </w:rPr>
                <w:t xml:space="preserve">sovereignsecure.co.uk/iso-27001-policy-templates/</w:t>
              </w:r>
            </w:hyperlink>
            <w:r>
              <w:rPr>
                <w:sz w:val="20"/>
                <w:szCs w:val="20"/>
              </w:rPr>
              <w:t xml:space="preserve">.</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What is inside</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r>
              <w:rPr>
                <w:sz w:val="20"/>
                <w:szCs w:val="20"/>
              </w:rPr>
              <w:t xml:space="preserve">Part A: cryptography policy template, with document control</w:t>
            </w:r>
          </w:p>
          <w:p>
            <w:pPr>
              <w:spacing w:after="60" w:before="0"/>
            </w:pPr>
            <w:r>
              <w:rPr>
                <w:sz w:val="20"/>
                <w:szCs w:val="20"/>
              </w:rPr>
              <w:t xml:space="preserve">Part B: the Annex A controls this policy supports, section by section</w:t>
            </w:r>
          </w:p>
          <w:p>
            <w:pPr>
              <w:spacing w:after="60" w:before="0"/>
            </w:pPr>
            <w:r>
              <w:rPr>
                <w:sz w:val="20"/>
                <w:szCs w:val="20"/>
              </w:rPr>
              <w:t xml:space="preserve">Part C: evidence auditors ask for, and checks before you approve</w:t>
            </w:r>
          </w:p>
          <w:p>
            <w:pPr>
              <w:spacing w:after="60" w:before="0"/>
            </w:pPr>
            <w:r>
              <w:rPr>
                <w:sz w:val="20"/>
                <w:szCs w:val="20"/>
              </w:rPr>
              <w:t xml:space="preserve">Appendix A: key and certificate register</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Annex A controls</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r>
              <w:rPr>
                <w:sz w:val="20"/>
                <w:szCs w:val="20"/>
              </w:rPr>
              <w:t xml:space="preserve">8.24 Use of cryptography</w:t>
            </w:r>
          </w:p>
          <w:p>
            <w:pPr>
              <w:spacing w:after="60" w:before="0"/>
            </w:pPr>
            <w:r>
              <w:rPr>
                <w:sz w:val="20"/>
                <w:szCs w:val="20"/>
              </w:rPr>
              <w:t xml:space="preserve">It also sets rules that support 5.12, 5.14, 5.17, 5.19, 5.23, 5.24, 5.31, 5.33, 5.34, 7.10, 8.1, 8.13, 8.15, 8.20, 8.21, 8.26 and 8.28 (see Part B).</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Related templates</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This is a topic-specific policy under the information security policy that clause 5.2 requires. The same toolkit has a free information security policy template and access control, acceptable use and supplier security policy templates in the same format.</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Version</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October 2026. Clause and control numbers refer to ISO/IEC 27001:2022 and ISO/IEC 27002:2022.</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The standard</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This template does not reproduce ISO/IEC 27001 or ISO/IEC 27002; control numbers and titles are given for reference only. The official text is available from ISO (</w:t>
            </w:r>
            <w:hyperlink w:history="1" r:id="rIdsrszxgsxg6ajxzgfmiqih">
              <w:r>
                <w:rPr>
                  <w:rStyle w:val="Hyperlink"/>
                  <w:sz w:val="20"/>
                  <w:szCs w:val="20"/>
                </w:rPr>
                <w:t xml:space="preserve">iso.org/standard/27001</w:t>
              </w:r>
            </w:hyperlink>
            <w:r>
              <w:rPr>
                <w:sz w:val="20"/>
                <w:szCs w:val="20"/>
              </w:rPr>
              <w:t xml:space="preserve">) or a national standards body such as BSI.</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Licence</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Free to use and adapt within your organisation.</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Not audit evidence</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A template is a drafting aid, not evidence. Certification auditors test your policies against your scope, your risk assessment, your Statement of Applicability and your records, so templates alone will not get you certified.</w:t>
            </w:r>
          </w:p>
        </w:tc>
      </w:tr>
      <w:tr>
        <w:trPr>
          <w:cantSplit/>
        </w:trPr>
        <w:tc>
          <w:tcPr>
            <w:tcW w:type="dxa" w:w="2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Getting help</w:t>
            </w:r>
          </w:p>
        </w:tc>
        <w:tc>
          <w:tcPr>
            <w:tcW w:type="dxa" w:w="73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rPr>
              <w:t xml:space="preserve">For help tailoring the full policy set, use the enquiry form on </w:t>
            </w:r>
            <w:hyperlink w:history="1" w:anchor="enquire" r:id="rIdmc0bkcsymcwc5mkd3rpv7">
              <w:r>
                <w:rPr>
                  <w:rStyle w:val="Hyperlink"/>
                  <w:sz w:val="20"/>
                  <w:szCs w:val="20"/>
                </w:rPr>
                <w:t xml:space="preserve">our ISO 27001 policy templates page</w:t>
              </w:r>
            </w:hyperlink>
            <w:r>
              <w:rPr>
                <w:sz w:val="20"/>
                <w:szCs w:val="20"/>
              </w:rPr>
              <w:t xml:space="preserve">, which is already set to ISO 27001, or call +44 161 523 5276. Sovereign Secure Ltd is ISO 27001 certified and provides ISO 27001 consultancy; certification audits are carried out by our partner, the independent certification body MQA International.</w:t>
            </w:r>
          </w:p>
        </w:tc>
      </w:tr>
    </w:tbl>
    <w:p>
      <w:pPr>
        <w:pStyle w:val="Heading1"/>
        <w:pageBreakBefore/>
      </w:pPr>
      <w:r>
        <w:t xml:space="preserve">How to use this template</w:t>
      </w:r>
    </w:p>
    <w:p>
      <w:pPr>
        <w:pStyle w:val="ListParagraph"/>
        <w:numPr>
          <w:ilvl w:val="0"/>
          <w:numId w:val="2"/>
        </w:numPr>
        <w:spacing w:after="90"/>
      </w:pPr>
      <w:r>
        <w:t xml:space="preserve">Copy Part A into your own document, replace everything in </w:t>
      </w:r>
      <w:r>
        <w:rPr>
          <w:highlight w:val="yellow"/>
        </w:rPr>
        <w:t xml:space="preserve">[square brackets]</w:t>
      </w:r>
      <w:r>
        <w:t xml:space="preserve"> and remove anything that does not apply. Placeholders are highlighted so none are missed; remove the highlight once each is filled in.</w:t>
      </w:r>
    </w:p>
    <w:p>
      <w:pPr>
        <w:pStyle w:val="ListParagraph"/>
        <w:numPr>
          <w:ilvl w:val="0"/>
          <w:numId w:val="2"/>
        </w:numPr>
        <w:spacing w:after="90"/>
      </w:pPr>
      <w:r>
        <w:t xml:space="preserve">Check the policy against your Statement of Applicability. Keep the rules for controls you have included, and delete rules that only serve controls you have excluded.</w:t>
      </w:r>
    </w:p>
    <w:p>
      <w:pPr>
        <w:pStyle w:val="ListParagraph"/>
        <w:numPr>
          <w:ilvl w:val="0"/>
          <w:numId w:val="2"/>
        </w:numPr>
        <w:spacing w:after="90"/>
      </w:pPr>
      <w:r>
        <w:t xml:space="preserve">Start from where you use cryptography today: laptops and phones, backups, websites and APIs, email, remote access, Wi-Fi, databases, cloud services and password storage. The approved cryptography table (section 4) is a sensible baseline; check it against your systems and your suppliers' documentation.</w:t>
      </w:r>
    </w:p>
    <w:p>
      <w:pPr>
        <w:pStyle w:val="ListParagraph"/>
        <w:numPr>
          <w:ilvl w:val="0"/>
          <w:numId w:val="2"/>
        </w:numPr>
        <w:spacing w:after="90"/>
      </w:pPr>
      <w:r>
        <w:t xml:space="preserve">Most of this policy is about configuration and key management, so agree it with whoever runs your IT, including any managed service provider, and your developers.</w:t>
      </w:r>
    </w:p>
    <w:p>
      <w:pPr>
        <w:pStyle w:val="ListParagraph"/>
        <w:numPr>
          <w:ilvl w:val="0"/>
          <w:numId w:val="2"/>
        </w:numPr>
        <w:spacing w:after="90"/>
      </w:pPr>
      <w:r>
        <w:t xml:space="preserve">Review the approved cryptography table at least every year. Guidance changes, and the NCSC has set out a timeline for moving to post-quantum cryptography, with discovery and planning by 2028 and migration complete by 2035 (</w:t>
      </w:r>
      <w:hyperlink w:history="1" r:id="rId_jqpvjlfhw3uivhz3-00s">
        <w:r>
          <w:rPr>
            <w:rStyle w:val="Hyperlink"/>
          </w:rPr>
          <w:t xml:space="preserve">ncsc.gov.uk/guidance/pqc-migration-timelines</w:t>
        </w:r>
      </w:hyperlink>
      <w:r>
        <w:t xml:space="preserve">).</w:t>
      </w:r>
    </w:p>
    <w:p>
      <w:pPr>
        <w:pStyle w:val="ListParagraph"/>
        <w:numPr>
          <w:ilvl w:val="0"/>
          <w:numId w:val="2"/>
        </w:numPr>
        <w:spacing w:after="90"/>
      </w:pPr>
      <w:r>
        <w:t xml:space="preserve">Delete the guidance notes, these instructions, Parts B and C and the Sovereign Secure footer before you issue the policy. Keep any appendices you use as working records.</w:t>
      </w:r>
    </w:p>
    <w:p>
      <w:pPr>
        <w:pStyle w:val="Heading2"/>
      </w:pPr>
      <w:r>
        <w:t xml:space="preserve">Tailoring steps</w:t>
      </w:r>
    </w:p>
    <w:p>
      <w:pPr>
        <w:pStyle w:val="ListParagraph"/>
        <w:numPr>
          <w:ilvl w:val="0"/>
          <w:numId w:val="3"/>
        </w:numPr>
        <w:spacing w:after="90"/>
      </w:pPr>
      <w:r>
        <w:rPr>
          <w:b/>
          <w:bCs/>
        </w:rPr>
        <w:t xml:space="preserve">Make an inventory</w:t>
      </w:r>
      <w:r>
        <w:t xml:space="preserve"> of where you use encryption, certificates and keys, and who manages each one, in the key and certificate register (Appendix A).</w:t>
      </w:r>
    </w:p>
    <w:p>
      <w:pPr>
        <w:pStyle w:val="ListParagraph"/>
        <w:numPr>
          <w:ilvl w:val="0"/>
          <w:numId w:val="3"/>
        </w:numPr>
        <w:spacing w:after="90"/>
      </w:pPr>
      <w:r>
        <w:rPr>
          <w:b/>
          <w:bCs/>
        </w:rPr>
        <w:t xml:space="preserve">Check the approved cryptography table</w:t>
      </w:r>
      <w:r>
        <w:t xml:space="preserve"> (section 4) against what your systems support, and plan to replace anything that falls short.</w:t>
      </w:r>
    </w:p>
    <w:p>
      <w:pPr>
        <w:pStyle w:val="ListParagraph"/>
        <w:numPr>
          <w:ilvl w:val="0"/>
          <w:numId w:val="3"/>
        </w:numPr>
        <w:spacing w:after="90"/>
      </w:pPr>
      <w:r>
        <w:rPr>
          <w:b/>
          <w:bCs/>
        </w:rPr>
        <w:t xml:space="preserve">Decide where keys live</w:t>
      </w:r>
      <w:r>
        <w:t xml:space="preserve"> for each use: managed by the provider, in a key vault or key management service, in a hardware security module or in a password manager, and who can reach them.</w:t>
      </w:r>
    </w:p>
    <w:p>
      <w:pPr>
        <w:pStyle w:val="ListParagraph"/>
        <w:numPr>
          <w:ilvl w:val="0"/>
          <w:numId w:val="3"/>
        </w:numPr>
        <w:spacing w:after="90"/>
      </w:pPr>
      <w:r>
        <w:rPr>
          <w:b/>
          <w:bCs/>
        </w:rPr>
        <w:t xml:space="preserve">Check each rule against reality,</w:t>
      </w:r>
      <w:r>
        <w:t xml:space="preserve"> for example that every laptop is encrypted and its recovery key is stored centrally.</w:t>
      </w:r>
    </w:p>
    <w:p>
      <w:pPr>
        <w:pStyle w:val="ListParagraph"/>
        <w:numPr>
          <w:ilvl w:val="0"/>
          <w:numId w:val="3"/>
        </w:numPr>
        <w:spacing w:after="90"/>
      </w:pPr>
      <w:r>
        <w:rPr>
          <w:b/>
          <w:bCs/>
        </w:rPr>
        <w:t xml:space="preserve">Approve and communicate the policy</w:t>
      </w:r>
      <w:r>
        <w:t xml:space="preserve"> (Annex A 5.1) to IT staff, developers and suppliers who manage cryptography for you.</w:t>
      </w:r>
    </w:p>
    <w:p>
      <w:pPr>
        <w:pStyle w:val="ListParagraph"/>
        <w:numPr>
          <w:ilvl w:val="0"/>
          <w:numId w:val="3"/>
        </w:numPr>
        <w:spacing w:after="90"/>
      </w:pPr>
      <w:r>
        <w:rPr>
          <w:b/>
          <w:bCs/>
        </w:rPr>
        <w:t xml:space="preserve">Put it under document control</w:t>
      </w:r>
      <w:r>
        <w:t xml:space="preserve"> (clause 7.5) with an owner, version and review date, and add it to your document register.</w:t>
      </w:r>
    </w:p>
    <w:p>
      <w:pPr>
        <w:pStyle w:val="ListParagraph"/>
        <w:numPr>
          <w:ilvl w:val="0"/>
          <w:numId w:val="3"/>
        </w:numPr>
        <w:spacing w:after="90"/>
      </w:pPr>
      <w:r>
        <w:rPr>
          <w:b/>
          <w:bCs/>
        </w:rPr>
        <w:t xml:space="preserve">Set up certificate expiry monitoring</w:t>
      </w:r>
      <w:r>
        <w:t xml:space="preserve"> and record the first key and certificate review.</w:t>
      </w:r>
    </w:p>
    <w:p>
      <w:pPr>
        <w:spacing w:after="140" w:before="120"/>
      </w:pPr>
      <w:r>
        <w:t xml:space="preserve">If personal data is in scope, your policies also help show the appropriate security that UK GDPR expects; the ICO's </w:t>
      </w:r>
      <w:hyperlink w:history="1" r:id="rId9dohpw-pib6vqocpbhu9m">
        <w:r>
          <w:rPr>
            <w:rStyle w:val="Hyperlink"/>
          </w:rPr>
          <w:t xml:space="preserve">guide to data security</w:t>
        </w:r>
      </w:hyperlink>
      <w:r>
        <w:t xml:space="preserve"> explains what it looks for.</w:t>
      </w:r>
    </w:p>
    <w:p>
      <w:pPr>
        <w:pStyle w:val="Heading1"/>
        <w:pageBreakBefore/>
      </w:pPr>
      <w:r>
        <w:t xml:space="preserve">Part A: Cryptography Policy template</w:t>
      </w:r>
    </w:p>
    <w:p>
      <w:pPr>
        <w:pBdr>
          <w:top w:val="single" w:color="F4F3EF" w:sz="4" w:space="4"/>
          <w:left w:val="single" w:color="E02840" w:sz="24" w:space="8"/>
          <w:bottom w:val="single" w:color="F4F3EF" w:sz="4" w:space="4"/>
        </w:pBdr>
        <w:shd w:fill="F4F3EF" w:color="auto" w:val="clear"/>
        <w:spacing w:after="220" w:before="120"/>
        <w:ind w:left="200" w:right="120"/>
      </w:pPr>
      <w:r>
        <w:rPr>
          <w:b/>
          <w:bCs/>
          <w:color w:val="E02840"/>
        </w:rPr>
        <w:t xml:space="preserve">Guidance: </w:t>
      </w:r>
      <w:r>
        <w:t xml:space="preserve">Copy this into your own document, replace everything in </w:t>
      </w:r>
      <w:r>
        <w:rPr>
          <w:highlight w:val="yellow"/>
        </w:rPr>
        <w:t xml:space="preserve">[square brackets]</w:t>
      </w:r>
      <w:r>
        <w:t xml:space="preserve"> and remove anything that does not apply. Name your real systems, roles and timescales, and only write rules you can show are followed.</w:t>
      </w:r>
    </w:p>
    <w:p>
      <w:pPr>
        <w:pBdr>
          <w:top w:val="single" w:color="F4F3EF" w:sz="4" w:space="4"/>
          <w:left w:val="single" w:color="E02840" w:sz="24" w:space="8"/>
          <w:bottom w:val="single" w:color="F4F3EF" w:sz="4" w:space="4"/>
        </w:pBdr>
        <w:shd w:fill="F4F3EF" w:color="auto" w:val="clear"/>
        <w:spacing w:after="220" w:before="120"/>
        <w:ind w:left="200" w:right="120"/>
      </w:pPr>
      <w:r>
        <w:rPr>
          <w:b/>
          <w:bCs/>
          <w:color w:val="E02840"/>
        </w:rPr>
        <w:t xml:space="preserve">Annex A 8.24: </w:t>
      </w:r>
      <w:r>
        <w:t xml:space="preserve">Rules for the effective use of cryptography, including cryptographic key management, are defined and put in place. ISO/IEC 27002 suggests the policy covers the level of protection needed, approved algorithms and standards, the key management approach, roles, legal restrictions, and the effect of encryption on controls that inspect content.</w:t>
      </w:r>
    </w:p>
    <w:p>
      <w:pPr>
        <w:keepNext/>
        <w:spacing w:after="200" w:before="120"/>
      </w:pPr>
      <w:r>
        <w:rPr>
          <w:b/>
          <w:bCs/>
          <w:color w:val="102838"/>
          <w:sz w:val="32"/>
          <w:szCs w:val="32"/>
          <w:highlight w:val="yellow"/>
        </w:rPr>
        <w:t xml:space="preserve">[Organisation name]</w:t>
      </w:r>
      <w:r>
        <w:rPr>
          <w:b/>
          <w:bCs/>
          <w:color w:val="102838"/>
          <w:sz w:val="32"/>
          <w:szCs w:val="32"/>
        </w:rPr>
        <w:t xml:space="preserve"> Cryptography Policy</w:t>
      </w:r>
    </w:p>
    <w:p>
      <w:pPr>
        <w:pStyle w:val="Heading2"/>
      </w:pPr>
      <w: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1900"/>
        <w:gridCol w:w="1600"/>
        <w:gridCol w:w="1600"/>
        <w:gridCol w:w="1738"/>
      </w:tblGrid>
      <w:tr>
        <w:trPr>
          <w:cantSplit/>
          <w:tblHeader/>
        </w:trPr>
        <w:tc>
          <w:tcPr>
            <w:tcW w:type="dxa" w:w="11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Version</w:t>
            </w:r>
          </w:p>
        </w:tc>
        <w:tc>
          <w:tcPr>
            <w:tcW w:type="dxa" w:w="1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Owner</w:t>
            </w:r>
          </w:p>
        </w:tc>
        <w:tc>
          <w:tcPr>
            <w:tcW w:type="dxa" w:w="1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Approver</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Approval date</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Next review</w:t>
            </w:r>
          </w:p>
        </w:tc>
        <w:tc>
          <w:tcPr>
            <w:tcW w:type="dxa" w:w="17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Classification</w:t>
            </w: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[x]</w:t>
            </w: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[IT manager]</w:t>
            </w:r>
          </w:p>
        </w:tc>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[name, role]</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c>
          <w:tcPr>
            <w:tcW w:type="dxa" w:w="17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[Internal]</w:t>
            </w:r>
          </w:p>
        </w:tc>
      </w:tr>
    </w:tbl>
    <w:p>
      <w:pPr>
        <w:spacing w:after="160" w:before="0"/>
      </w:pPr>
    </w:p>
    <w:p>
      <w:pPr>
        <w:keepNext/>
        <w:spacing w:after="80" w:before="0"/>
      </w:pPr>
      <w:r>
        <w:rPr>
          <w:b/>
          <w:bCs/>
        </w:rPr>
        <w:t xml:space="preserve">Version history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600"/>
        <w:gridCol w:w="2200"/>
        <w:gridCol w:w="4738"/>
      </w:tblGrid>
      <w:tr>
        <w:trPr>
          <w:cantSplit/>
          <w:tblHeader/>
        </w:trPr>
        <w:tc>
          <w:tcPr>
            <w:tcW w:type="dxa" w:w="11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Version</w:t>
            </w:r>
          </w:p>
        </w:tc>
        <w:tc>
          <w:tcPr>
            <w:tcW w:type="dxa" w:w="16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Date</w:t>
            </w:r>
          </w:p>
        </w:tc>
        <w:tc>
          <w:tcPr>
            <w:tcW w:type="dxa" w:w="22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Author</w:t>
            </w:r>
          </w:p>
        </w:tc>
        <w:tc>
          <w:tcPr>
            <w:tcW w:type="dxa" w:w="47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Summary of changes</w:t>
            </w: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[1.0]</w:t>
            </w: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[date]</w:t>
            </w: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[name]</w:t>
            </w:r>
          </w:p>
        </w:tc>
        <w:tc>
          <w:tcPr>
            <w:tcW w:type="dxa" w:w="47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sz w:val="20"/>
                <w:szCs w:val="20"/>
                <w:highlight w:val="yellow"/>
              </w:rPr>
              <w:t xml:space="preserve">[First issue]</w:t>
            </w:r>
          </w:p>
        </w:tc>
      </w:tr>
      <w:tr>
        <w:trPr>
          <w:cantSplit/>
        </w:trPr>
        <w:tc>
          <w:tcPr>
            <w:tcW w:type="dxa" w:w="1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47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Pr>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6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22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47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bl>
    <w:p>
      <w:pPr>
        <w:pStyle w:val="Heading2"/>
      </w:pPr>
      <w:r>
        <w:t xml:space="preserve">1. Purpose</w:t>
      </w:r>
    </w:p>
    <w:p>
      <w:pPr>
        <w:pStyle w:val="ListParagraph"/>
        <w:numPr>
          <w:ilvl w:val="0"/>
          <w:numId w:val="2"/>
        </w:numPr>
        <w:spacing w:after="90"/>
      </w:pPr>
      <w:r>
        <w:t xml:space="preserve">This policy sets out when and how </w:t>
      </w:r>
      <w:r>
        <w:rPr>
          <w:highlight w:val="yellow"/>
        </w:rPr>
        <w:t xml:space="preserve">[Organisation name]</w:t>
      </w:r>
      <w:r>
        <w:t xml:space="preserve"> uses cryptography to protect the confidentiality, integrity and authenticity of information, and how cryptographic keys and certificates are managed throughout their life.</w:t>
      </w:r>
    </w:p>
    <w:p>
      <w:pPr>
        <w:pStyle w:val="ListParagraph"/>
        <w:numPr>
          <w:ilvl w:val="0"/>
          <w:numId w:val="2"/>
        </w:numPr>
        <w:spacing w:after="90"/>
      </w:pPr>
      <w:r>
        <w:t xml:space="preserve">It supports Annex A control 8.24 of ISO/IEC 27001:2022 and sits under our </w:t>
      </w:r>
      <w:r>
        <w:rPr>
          <w:highlight w:val="yellow"/>
        </w:rPr>
        <w:t xml:space="preserve">[Information Security Policy]</w:t>
      </w:r>
      <w:r>
        <w:t xml:space="preserve">.</w:t>
      </w:r>
    </w:p>
    <w:p>
      <w:pPr>
        <w:pStyle w:val="Heading2"/>
      </w:pPr>
      <w:r>
        <w:t xml:space="preserve">2. Scope</w:t>
      </w:r>
    </w:p>
    <w:p>
      <w:pPr>
        <w:pStyle w:val="ListParagraph"/>
        <w:numPr>
          <w:ilvl w:val="0"/>
          <w:numId w:val="2"/>
        </w:numPr>
        <w:spacing w:after="90"/>
      </w:pPr>
      <w:r>
        <w:t xml:space="preserve">It applies to all systems, devices, applications, cloud services and networks within the ISMS scope, to everyone who configures or manages them, and to suppliers who manage cryptography or keys for us.</w:t>
      </w:r>
    </w:p>
    <w:p>
      <w:pPr>
        <w:pStyle w:val="ListParagraph"/>
        <w:numPr>
          <w:ilvl w:val="0"/>
          <w:numId w:val="2"/>
        </w:numPr>
        <w:spacing w:after="90"/>
      </w:pPr>
      <w:r>
        <w:t xml:space="preserve">It covers encryption, digital signatures, hashing and certificates, and the keys, passwords and secrets that protect them.</w:t>
      </w:r>
    </w:p>
    <w:p>
      <w:pPr>
        <w:pStyle w:val="Heading2"/>
      </w:pPr>
      <w:r>
        <w:t xml:space="preserve">3. Where cryptography must be used</w:t>
      </w:r>
    </w:p>
    <w:p>
      <w:pPr>
        <w:keepNext/>
        <w:spacing w:after="100" w:before="0"/>
      </w:pPr>
      <w:r>
        <w:rPr>
          <w:i/>
          <w:iCs/>
          <w:color w:val="5B6770"/>
          <w:sz w:val="18"/>
          <w:szCs w:val="18"/>
        </w:rPr>
        <w:t xml:space="preserve">Supports Annex A 8.24 Use of cryptography; 8.1 User endpoint devices; 7.10 Storage media; 8.13 Information backup</w:t>
      </w:r>
    </w:p>
    <w:p>
      <w:pPr>
        <w:keepNext/>
        <w:spacing w:after="140" w:before="0"/>
      </w:pPr>
      <w:r>
        <w:t xml:space="preserve">The level of protection follows our risk assessment and the classification of the information (5.12). As a minimum, cryptography is used for:</w:t>
      </w:r>
    </w:p>
    <w:p>
      <w:pPr>
        <w:pStyle w:val="ListParagraph"/>
        <w:numPr>
          <w:ilvl w:val="0"/>
          <w:numId w:val="2"/>
        </w:numPr>
        <w:spacing w:after="90"/>
      </w:pPr>
      <w:r>
        <w:rPr>
          <w:b/>
          <w:bCs/>
        </w:rPr>
        <w:t xml:space="preserve">Laptops, desktops, phones and tablets:</w:t>
      </w:r>
      <w:r>
        <w:t xml:space="preserve"> full-disk or device encryption on every device that holds company information, using </w:t>
      </w:r>
      <w:r>
        <w:rPr>
          <w:highlight w:val="yellow"/>
        </w:rPr>
        <w:t xml:space="preserve">[BitLocker, FileVault, or Android and iOS device encryption]</w:t>
      </w:r>
      <w:r>
        <w:t xml:space="preserve"> (8.1).</w:t>
      </w:r>
    </w:p>
    <w:p>
      <w:pPr>
        <w:pStyle w:val="ListParagraph"/>
        <w:numPr>
          <w:ilvl w:val="0"/>
          <w:numId w:val="2"/>
        </w:numPr>
        <w:spacing w:after="90"/>
      </w:pPr>
      <w:r>
        <w:rPr>
          <w:b/>
          <w:bCs/>
        </w:rPr>
        <w:t xml:space="preserve">Removable media:</w:t>
      </w:r>
      <w:r>
        <w:t xml:space="preserve"> only encrypted media approved by </w:t>
      </w:r>
      <w:r>
        <w:rPr>
          <w:highlight w:val="yellow"/>
        </w:rPr>
        <w:t xml:space="preserve">[IT]</w:t>
      </w:r>
      <w:r>
        <w:t xml:space="preserve"> (7.10).</w:t>
      </w:r>
    </w:p>
    <w:p>
      <w:pPr>
        <w:pStyle w:val="ListParagraph"/>
        <w:numPr>
          <w:ilvl w:val="0"/>
          <w:numId w:val="2"/>
        </w:numPr>
        <w:spacing w:after="90"/>
      </w:pPr>
      <w:r>
        <w:rPr>
          <w:b/>
          <w:bCs/>
        </w:rPr>
        <w:t xml:space="preserve">Information in transit:</w:t>
      </w:r>
      <w:r>
        <w:t xml:space="preserve"> every connection that carries company information over a public network, including websites, APIs, remote access and file transfer, uses the protocols in section 4. Email between mail servers uses TLS where the other server supports it (5.14, 8.20, 8.21).</w:t>
      </w:r>
    </w:p>
    <w:p>
      <w:pPr>
        <w:pStyle w:val="ListParagraph"/>
        <w:numPr>
          <w:ilvl w:val="0"/>
          <w:numId w:val="2"/>
        </w:numPr>
        <w:spacing w:after="90"/>
      </w:pPr>
      <w:r>
        <w:rPr>
          <w:b/>
          <w:bCs/>
        </w:rPr>
        <w:t xml:space="preserve">Stored data:</w:t>
      </w:r>
      <w:r>
        <w:t xml:space="preserve"> </w:t>
      </w:r>
      <w:r>
        <w:rPr>
          <w:highlight w:val="yellow"/>
        </w:rPr>
        <w:t xml:space="preserve">[databases, file storage and cloud storage]</w:t>
      </w:r>
      <w:r>
        <w:t xml:space="preserve"> holding </w:t>
      </w:r>
      <w:r>
        <w:rPr>
          <w:highlight w:val="yellow"/>
        </w:rPr>
        <w:t xml:space="preserve">[confidential or personal data]</w:t>
      </w:r>
      <w:r>
        <w:t xml:space="preserve"> are encrypted at rest, using at least the cloud provider's built-in encryption.</w:t>
      </w:r>
    </w:p>
    <w:p>
      <w:pPr>
        <w:pStyle w:val="ListParagraph"/>
        <w:numPr>
          <w:ilvl w:val="0"/>
          <w:numId w:val="2"/>
        </w:numPr>
        <w:spacing w:after="90"/>
      </w:pPr>
      <w:r>
        <w:rPr>
          <w:b/>
          <w:bCs/>
        </w:rPr>
        <w:t xml:space="preserve">Backups:</w:t>
      </w:r>
      <w:r>
        <w:t xml:space="preserve"> backup copies are encrypted, including copies held off-site or offline (8.13).</w:t>
      </w:r>
    </w:p>
    <w:p>
      <w:pPr>
        <w:pStyle w:val="ListParagraph"/>
        <w:numPr>
          <w:ilvl w:val="0"/>
          <w:numId w:val="2"/>
        </w:numPr>
        <w:spacing w:after="90"/>
      </w:pPr>
      <w:r>
        <w:rPr>
          <w:b/>
          <w:bCs/>
        </w:rPr>
        <w:t xml:space="preserve">Passwords:</w:t>
      </w:r>
      <w:r>
        <w:t xml:space="preserve"> systems we build or configure store passwords only as salted hashes made with an approved password hashing algorithm (section 4) (5.17).</w:t>
      </w:r>
    </w:p>
    <w:p>
      <w:pPr>
        <w:pStyle w:val="ListParagraph"/>
        <w:numPr>
          <w:ilvl w:val="0"/>
          <w:numId w:val="2"/>
        </w:numPr>
        <w:spacing w:after="90"/>
      </w:pPr>
      <w:r>
        <w:rPr>
          <w:b/>
          <w:bCs/>
        </w:rPr>
        <w:t xml:space="preserve">Sharing outside the organisation:</w:t>
      </w:r>
      <w:r>
        <w:t xml:space="preserve"> </w:t>
      </w:r>
      <w:r>
        <w:rPr>
          <w:highlight w:val="yellow"/>
        </w:rPr>
        <w:t xml:space="preserve">[confidential]</w:t>
      </w:r>
      <w:r>
        <w:t xml:space="preserve"> information sent to external parties is protected with </w:t>
      </w:r>
      <w:r>
        <w:rPr>
          <w:highlight w:val="yellow"/>
        </w:rPr>
        <w:t xml:space="preserve">[message encryption, encrypted links or encrypted files]</w:t>
      </w:r>
      <w:r>
        <w:t xml:space="preserve">, and any password is sent by a different channel.</w:t>
      </w:r>
    </w:p>
    <w:p>
      <w:pPr>
        <w:pStyle w:val="ListParagraph"/>
        <w:numPr>
          <w:ilvl w:val="0"/>
          <w:numId w:val="2"/>
        </w:numPr>
        <w:spacing w:after="90"/>
      </w:pPr>
      <w:r>
        <w:rPr>
          <w:b/>
          <w:bCs/>
        </w:rPr>
        <w:t xml:space="preserve">Wireless networks:</w:t>
      </w:r>
      <w:r>
        <w:t xml:space="preserve"> office Wi-Fi uses the protocols in section 4, with </w:t>
      </w:r>
      <w:r>
        <w:rPr>
          <w:highlight w:val="yellow"/>
        </w:rPr>
        <w:t xml:space="preserve">[enterprise authentication]</w:t>
      </w:r>
      <w:r>
        <w:t xml:space="preserve"> for the corporate network.</w:t>
      </w:r>
    </w:p>
    <w:p>
      <w:pPr>
        <w:pStyle w:val="ListParagraph"/>
        <w:numPr>
          <w:ilvl w:val="0"/>
          <w:numId w:val="2"/>
        </w:numPr>
        <w:spacing w:after="90"/>
      </w:pPr>
      <w:r>
        <w:rPr>
          <w:b/>
          <w:bCs/>
        </w:rPr>
        <w:t xml:space="preserve">Integrity and authenticity:</w:t>
      </w:r>
      <w:r>
        <w:t xml:space="preserve"> </w:t>
      </w:r>
      <w:r>
        <w:rPr>
          <w:highlight w:val="yellow"/>
        </w:rPr>
        <w:t xml:space="preserve">[software we release, scripts and signed documents]</w:t>
      </w:r>
      <w:r>
        <w:t xml:space="preserve"> are digitally signed where </w:t>
      </w:r>
      <w:r>
        <w:rPr>
          <w:highlight w:val="yellow"/>
        </w:rPr>
        <w:t xml:space="preserve">[customers, contracts or the law]</w:t>
      </w:r>
      <w:r>
        <w:t xml:space="preserve"> require it, and signatures are checked before use.</w:t>
      </w:r>
    </w:p>
    <w:p>
      <w:pPr>
        <w:pStyle w:val="Heading2"/>
      </w:pPr>
      <w:r>
        <w:t xml:space="preserve">4. Approved cryptography</w:t>
      </w:r>
    </w:p>
    <w:p>
      <w:pPr>
        <w:keepNext/>
        <w:spacing w:after="100" w:before="0"/>
      </w:pPr>
      <w:r>
        <w:rPr>
          <w:i/>
          <w:iCs/>
          <w:color w:val="5B6770"/>
          <w:sz w:val="18"/>
          <w:szCs w:val="18"/>
        </w:rPr>
        <w:t xml:space="preserve">Supports Annex A 8.24 Use of cryptography</w:t>
      </w:r>
    </w:p>
    <w:p>
      <w:pPr>
        <w:keepNext/>
        <w:spacing w:after="140" w:before="0"/>
      </w:pPr>
      <w:r>
        <w:t xml:space="preserve">Use only the algorithms, key lengths and protocols in this table, configured as the vendor recommends. Anything not listed needs approval from </w:t>
      </w:r>
      <w:r>
        <w:rPr>
          <w:highlight w:val="yellow"/>
        </w:rPr>
        <w:t xml:space="preserve">[IT manager]</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4438"/>
        <w:gridCol w:w="3300"/>
      </w:tblGrid>
      <w:tr>
        <w:trPr>
          <w:cantSplit/>
          <w:tblHeader/>
        </w:trPr>
        <w:tc>
          <w:tcPr>
            <w:tcW w:type="dxa" w:w="19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Use</w:t>
            </w:r>
          </w:p>
        </w:tc>
        <w:tc>
          <w:tcPr>
            <w:tcW w:type="dxa" w:w="44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Approved</w:t>
            </w:r>
          </w:p>
        </w:tc>
        <w:tc>
          <w:tcPr>
            <w:tcW w:type="dxa" w:w="33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Not allowed</w:t>
            </w:r>
          </w:p>
        </w:tc>
      </w:tr>
      <w:tr>
        <w:trPr>
          <w:cantSpli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Symmetric encryption</w:t>
            </w:r>
          </w:p>
        </w:tc>
        <w:tc>
          <w:tcPr>
            <w:tcW w:type="dxa" w:w="44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AES with 128-bit or 256-bit keys (256-bit preferred) in an authenticated mode such as GCM; ChaCha20-Poly1305</w:t>
            </w:r>
          </w:p>
        </w:tc>
        <w:tc>
          <w:tcPr>
            <w:tcW w:type="dxa" w:w="3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DES, 3DES, RC4, Blowfish; AES in ECB mode</w:t>
            </w:r>
          </w:p>
        </w:tc>
      </w:tr>
      <w:tr>
        <w:trPr>
          <w:cantSplit/>
        </w:trPr>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Data in transit</w:t>
            </w:r>
          </w:p>
        </w:tc>
        <w:tc>
          <w:tcPr>
            <w:tcW w:type="dxa" w:w="44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TLS 1.3; TLS 1.2 with forward secrecy (ECDHE) and authenticated encryption (AES-GCM or ChaCha20-Poly1305) cipher suites</w:t>
            </w:r>
          </w:p>
        </w:tc>
        <w:tc>
          <w:tcPr>
            <w:tcW w:type="dxa" w:w="3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SSL 2.0 and 3.0, TLS 1.0 and 1.1; export, NULL and anonymous cipher suites</w:t>
            </w:r>
          </w:p>
        </w:tc>
      </w:tr>
      <w:tr>
        <w:trPr>
          <w:cantSpli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Public key and key exchange</w:t>
            </w:r>
          </w:p>
        </w:tc>
        <w:tc>
          <w:tcPr>
            <w:tcW w:type="dxa" w:w="44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RSA with at least 2048-bit keys (3072-bit for new keys intended for use beyond 2030); ECDSA or ECDH with P-256 or P-384; Ed25519 and X25519</w:t>
            </w:r>
          </w:p>
        </w:tc>
        <w:tc>
          <w:tcPr>
            <w:tcW w:type="dxa" w:w="3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RSA keys under 2048 bits; DSA</w:t>
            </w:r>
          </w:p>
        </w:tc>
      </w:tr>
      <w:tr>
        <w:trPr>
          <w:cantSplit/>
        </w:trPr>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Hashing and integrity</w:t>
            </w:r>
          </w:p>
        </w:tc>
        <w:tc>
          <w:tcPr>
            <w:tcW w:type="dxa" w:w="44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SHA-256, SHA-384, SHA-512 or SHA-3; HMAC with SHA-256 or stronger</w:t>
            </w:r>
          </w:p>
        </w:tc>
        <w:tc>
          <w:tcPr>
            <w:tcW w:type="dxa" w:w="3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MD5 and SHA-1 for any security purpose</w:t>
            </w:r>
          </w:p>
        </w:tc>
      </w:tr>
      <w:tr>
        <w:trPr>
          <w:cantSpli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Password storage</w:t>
            </w:r>
          </w:p>
        </w:tc>
        <w:tc>
          <w:tcPr>
            <w:tcW w:type="dxa" w:w="44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Argon2id, scrypt, bcrypt or PBKDF2 with a unique salt, configured to current OWASP guidance</w:t>
            </w:r>
          </w:p>
        </w:tc>
        <w:tc>
          <w:tcPr>
            <w:tcW w:type="dxa" w:w="3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Plain text, reversible encryption, unsalted hashes, or fast hashes such as MD5 or SHA-256 on their own</w:t>
            </w:r>
          </w:p>
        </w:tc>
      </w:tr>
      <w:tr>
        <w:trPr>
          <w:cantSplit/>
        </w:trPr>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Remote administration</w:t>
            </w:r>
          </w:p>
        </w:tc>
        <w:tc>
          <w:tcPr>
            <w:tcW w:type="dxa" w:w="44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SSH version 2 with Ed25519 or RSA (at least 3072-bit) keys, protected by a passphrase or hardware token</w:t>
            </w:r>
          </w:p>
        </w:tc>
        <w:tc>
          <w:tcPr>
            <w:tcW w:type="dxa" w:w="3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Telnet; SSH version 1; password-only SSH log-on to internet-facing servers</w:t>
            </w:r>
          </w:p>
        </w:tc>
      </w:tr>
      <w:tr>
        <w:trPr>
          <w:cantSpli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VPN</w:t>
            </w:r>
          </w:p>
        </w:tc>
        <w:tc>
          <w:tcPr>
            <w:tcW w:type="dxa" w:w="44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IPsec with IKEv2, WireGuard, or a TLS-based VPN using the algorithms above</w:t>
            </w:r>
          </w:p>
        </w:tc>
        <w:tc>
          <w:tcPr>
            <w:tcW w:type="dxa" w:w="3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PPTP; IKEv1 aggressive mode with pre-shared keys</w:t>
            </w:r>
          </w:p>
        </w:tc>
      </w:tr>
      <w:tr>
        <w:trPr>
          <w:cantSplit/>
        </w:trPr>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Wireless</w:t>
            </w:r>
          </w:p>
        </w:tc>
        <w:tc>
          <w:tcPr>
            <w:tcW w:type="dxa" w:w="44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WPA3; WPA2 with AES (CCMP)</w:t>
            </w:r>
          </w:p>
        </w:tc>
        <w:tc>
          <w:tcPr>
            <w:tcW w:type="dxa" w:w="3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WEP; WPA; WPA2 with TKIP; WPS</w:t>
            </w:r>
          </w:p>
        </w:tc>
      </w:tr>
      <w:tr>
        <w:trPr>
          <w:cantSplit/>
        </w:trPr>
        <w:tc>
          <w:tcPr>
            <w:tcW w:type="dxa" w:w="19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Certificates</w:t>
            </w:r>
          </w:p>
        </w:tc>
        <w:tc>
          <w:tcPr>
            <w:tcW w:type="dxa" w:w="44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Publicly trusted certificates for internet-facing services from </w:t>
            </w:r>
            <w:r>
              <w:rPr>
                <w:b w:val="false"/>
                <w:bCs w:val="false"/>
                <w:sz w:val="20"/>
                <w:szCs w:val="20"/>
                <w:highlight w:val="yellow"/>
              </w:rPr>
              <w:t xml:space="preserve">[certificate authority]</w:t>
            </w:r>
            <w:r>
              <w:rPr>
                <w:b w:val="false"/>
                <w:bCs w:val="false"/>
                <w:sz w:val="20"/>
                <w:szCs w:val="20"/>
              </w:rPr>
              <w:t xml:space="preserve">, with SHA-256 or stronger signatures; internal certificates from </w:t>
            </w:r>
            <w:r>
              <w:rPr>
                <w:b w:val="false"/>
                <w:bCs w:val="false"/>
                <w:sz w:val="20"/>
                <w:szCs w:val="20"/>
                <w:highlight w:val="yellow"/>
              </w:rPr>
              <w:t xml:space="preserve">[internal certificate authority]</w:t>
            </w:r>
          </w:p>
        </w:tc>
        <w:tc>
          <w:tcPr>
            <w:tcW w:type="dxa" w:w="3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Self-signed certificates on internet-facing services; SHA-1 signed certificates</w:t>
            </w:r>
          </w:p>
        </w:tc>
      </w:tr>
      <w:tr>
        <w:trPr>
          <w:cantSplit/>
        </w:trPr>
        <w:tc>
          <w:tcPr>
            <w:tcW w:type="dxa" w:w="19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Random numbers</w:t>
            </w:r>
          </w:p>
        </w:tc>
        <w:tc>
          <w:tcPr>
            <w:tcW w:type="dxa" w:w="44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The operating system's cryptographically secure random number generator, or the approved library's</w:t>
            </w:r>
          </w:p>
        </w:tc>
        <w:tc>
          <w:tcPr>
            <w:tcW w:type="dxa" w:w="3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General-purpose random functions; home-made generators</w:t>
            </w:r>
          </w:p>
        </w:tc>
      </w:tr>
    </w:tbl>
    <w:p>
      <w:pPr>
        <w:spacing w:after="120" w:before="0"/>
      </w:pPr>
    </w:p>
    <w:p>
      <w:pPr>
        <w:pStyle w:val="ListParagraph"/>
        <w:numPr>
          <w:ilvl w:val="0"/>
          <w:numId w:val="2"/>
        </w:numPr>
        <w:spacing w:after="90"/>
      </w:pPr>
      <w:r>
        <w:t xml:space="preserve">Use well-established libraries and platform features, such as </w:t>
      </w:r>
      <w:r>
        <w:rPr>
          <w:highlight w:val="yellow"/>
        </w:rPr>
        <w:t xml:space="preserve">[the operating system, .NET or Java cryptography libraries, OpenSSL and cloud key management services]</w:t>
      </w:r>
      <w:r>
        <w:t xml:space="preserve">. Never write your own cryptographic algorithms.</w:t>
      </w:r>
    </w:p>
    <w:p>
      <w:pPr>
        <w:pStyle w:val="ListParagraph"/>
        <w:numPr>
          <w:ilvl w:val="0"/>
          <w:numId w:val="2"/>
        </w:numPr>
        <w:spacing w:after="90"/>
      </w:pPr>
      <w:r>
        <w:t xml:space="preserve">Where a system cannot meet this table, the gap is recorded as an exception (section 10) with a plan and date to fix it.</w:t>
      </w:r>
    </w:p>
    <w:p>
      <w:pPr>
        <w:pStyle w:val="ListParagraph"/>
        <w:numPr>
          <w:ilvl w:val="0"/>
          <w:numId w:val="2"/>
        </w:numPr>
        <w:spacing w:after="90"/>
      </w:pPr>
      <w:r>
        <w:rPr>
          <w:highlight w:val="yellow"/>
        </w:rPr>
        <w:t xml:space="preserve">[IT manager]</w:t>
      </w:r>
      <w:r>
        <w:t xml:space="preserve"> reviews this table at least every </w:t>
      </w:r>
      <w:r>
        <w:rPr>
          <w:highlight w:val="yellow"/>
        </w:rPr>
        <w:t xml:space="preserve">[12]</w:t>
      </w:r>
      <w:r>
        <w:t xml:space="preserve"> months against current NCSC and vendor guidance, including the move to post-quantum cryptography.</w:t>
      </w:r>
    </w:p>
    <w:p>
      <w:pPr>
        <w:pStyle w:val="Heading2"/>
      </w:pPr>
      <w:r>
        <w:t xml:space="preserve">5. Key management</w:t>
      </w:r>
    </w:p>
    <w:p>
      <w:pPr>
        <w:keepNext/>
        <w:spacing w:after="100" w:before="0"/>
      </w:pPr>
      <w:r>
        <w:rPr>
          <w:i/>
          <w:iCs/>
          <w:color w:val="5B6770"/>
          <w:sz w:val="18"/>
          <w:szCs w:val="18"/>
        </w:rPr>
        <w:t xml:space="preserve">Supports Annex A 8.24 Use of cryptography; 5.33 Protection of records</w:t>
      </w:r>
    </w:p>
    <w:p>
      <w:pPr>
        <w:pStyle w:val="ListParagraph"/>
        <w:numPr>
          <w:ilvl w:val="0"/>
          <w:numId w:val="2"/>
        </w:numPr>
        <w:spacing w:after="90"/>
      </w:pPr>
      <w:r>
        <w:rPr>
          <w:b/>
          <w:bCs/>
        </w:rPr>
        <w:t xml:space="preserve">Generation:</w:t>
      </w:r>
      <w:r>
        <w:t xml:space="preserve"> keys are generated with approved tools on secure systems, with the key lengths in section 4, never chosen by hand.</w:t>
      </w:r>
    </w:p>
    <w:p>
      <w:pPr>
        <w:pStyle w:val="ListParagraph"/>
        <w:numPr>
          <w:ilvl w:val="0"/>
          <w:numId w:val="2"/>
        </w:numPr>
        <w:spacing w:after="90"/>
      </w:pPr>
      <w:r>
        <w:rPr>
          <w:b/>
          <w:bCs/>
        </w:rPr>
        <w:t xml:space="preserve">Storage:</w:t>
      </w:r>
      <w:r>
        <w:t xml:space="preserve"> private and secret keys are kept in </w:t>
      </w:r>
      <w:r>
        <w:rPr>
          <w:highlight w:val="yellow"/>
        </w:rPr>
        <w:t xml:space="preserve">[a cloud key management service, key vault, hardware security module or password manager]</w:t>
      </w:r>
      <w:r>
        <w:t xml:space="preserve">, never in source code, scripts, email, chat or unprotected files. Code repositories are scanned for exposed secrets </w:t>
      </w:r>
      <w:r>
        <w:rPr>
          <w:highlight w:val="yellow"/>
        </w:rPr>
        <w:t xml:space="preserve">[using tool]</w:t>
      </w:r>
      <w:r>
        <w:t xml:space="preserve">.</w:t>
      </w:r>
    </w:p>
    <w:p>
      <w:pPr>
        <w:pStyle w:val="ListParagraph"/>
        <w:numPr>
          <w:ilvl w:val="0"/>
          <w:numId w:val="2"/>
        </w:numPr>
        <w:spacing w:after="90"/>
      </w:pPr>
      <w:r>
        <w:rPr>
          <w:b/>
          <w:bCs/>
        </w:rPr>
        <w:t xml:space="preserve">Access:</w:t>
      </w:r>
      <w:r>
        <w:t xml:space="preserve"> only the named custodians in the key and certificate register (Appendix A) can use or manage keys, with MFA, and their access is logged (8.15).</w:t>
      </w:r>
    </w:p>
    <w:p>
      <w:pPr>
        <w:pStyle w:val="ListParagraph"/>
        <w:numPr>
          <w:ilvl w:val="0"/>
          <w:numId w:val="2"/>
        </w:numPr>
        <w:spacing w:after="90"/>
      </w:pPr>
      <w:r>
        <w:rPr>
          <w:b/>
          <w:bCs/>
        </w:rPr>
        <w:t xml:space="preserve">Distribution:</w:t>
      </w:r>
      <w:r>
        <w:t xml:space="preserve"> keys and secrets are shared only through </w:t>
      </w:r>
      <w:r>
        <w:rPr>
          <w:highlight w:val="yellow"/>
        </w:rPr>
        <w:t xml:space="preserve">[the approved vault or a secure channel]</w:t>
      </w:r>
      <w:r>
        <w:t xml:space="preserve">, never in the same message as the information they protect.</w:t>
      </w:r>
    </w:p>
    <w:p>
      <w:pPr>
        <w:pStyle w:val="ListParagraph"/>
        <w:numPr>
          <w:ilvl w:val="0"/>
          <w:numId w:val="2"/>
        </w:numPr>
        <w:spacing w:after="90"/>
      </w:pPr>
      <w:r>
        <w:rPr>
          <w:b/>
          <w:bCs/>
        </w:rPr>
        <w:t xml:space="preserve">Backup and recovery:</w:t>
      </w:r>
      <w:r>
        <w:t xml:space="preserve"> keys needed to recover data, such as device encryption recovery keys, are stored in </w:t>
      </w:r>
      <w:r>
        <w:rPr>
          <w:highlight w:val="yellow"/>
        </w:rPr>
        <w:t xml:space="preserve">[device management platform or secure vault]</w:t>
      </w:r>
      <w:r>
        <w:t xml:space="preserve">, so encrypted information can be recovered if a key is lost or damaged.</w:t>
      </w:r>
    </w:p>
    <w:p>
      <w:pPr>
        <w:pStyle w:val="ListParagraph"/>
        <w:numPr>
          <w:ilvl w:val="0"/>
          <w:numId w:val="2"/>
        </w:numPr>
        <w:spacing w:after="90"/>
      </w:pPr>
      <w:r>
        <w:rPr>
          <w:b/>
          <w:bCs/>
        </w:rPr>
        <w:t xml:space="preserve">Lifetime and rotation:</w:t>
      </w:r>
      <w:r>
        <w:t xml:space="preserve"> each key has a defined lifetime. Keys and secrets are rotated </w:t>
      </w:r>
      <w:r>
        <w:rPr>
          <w:highlight w:val="yellow"/>
        </w:rPr>
        <w:t xml:space="preserve">[at least every 12 months, or automatically by the provider]</w:t>
      </w:r>
      <w:r>
        <w:t xml:space="preserve">, when someone with access to them leaves, and immediately if compromise is suspected.</w:t>
      </w:r>
    </w:p>
    <w:p>
      <w:pPr>
        <w:pStyle w:val="ListParagraph"/>
        <w:numPr>
          <w:ilvl w:val="0"/>
          <w:numId w:val="2"/>
        </w:numPr>
        <w:spacing w:after="90"/>
      </w:pPr>
      <w:r>
        <w:rPr>
          <w:b/>
          <w:bCs/>
        </w:rPr>
        <w:t xml:space="preserve">Certificates:</w:t>
      </w:r>
      <w:r>
        <w:t xml:space="preserve"> certificates are listed in the register with their expiry dates and renewed before expiry, automatically wherever possible. The maximum validity of publicly trusted TLS certificates is reducing in steps from March 2026 to 47 days by March 2029, so manual renewal will not keep up.</w:t>
      </w:r>
    </w:p>
    <w:p>
      <w:pPr>
        <w:pStyle w:val="ListParagraph"/>
        <w:numPr>
          <w:ilvl w:val="0"/>
          <w:numId w:val="2"/>
        </w:numPr>
        <w:spacing w:after="90"/>
      </w:pPr>
      <w:r>
        <w:rPr>
          <w:b/>
          <w:bCs/>
        </w:rPr>
        <w:t xml:space="preserve">Compromise:</w:t>
      </w:r>
      <w:r>
        <w:t xml:space="preserve"> suspected compromise of a key is reported and handled as a security incident under the </w:t>
      </w:r>
      <w:r>
        <w:rPr>
          <w:highlight w:val="yellow"/>
        </w:rPr>
        <w:t xml:space="preserve">[Incident Response Plan]</w:t>
      </w:r>
      <w:r>
        <w:t xml:space="preserve"> (5.24). The key is revoked and replaced, and information it protected is re-protected where needed.</w:t>
      </w:r>
    </w:p>
    <w:p>
      <w:pPr>
        <w:pStyle w:val="ListParagraph"/>
        <w:numPr>
          <w:ilvl w:val="0"/>
          <w:numId w:val="2"/>
        </w:numPr>
        <w:spacing w:after="90"/>
      </w:pPr>
      <w:r>
        <w:rPr>
          <w:b/>
          <w:bCs/>
        </w:rPr>
        <w:t xml:space="preserve">Revocation and destruction:</w:t>
      </w:r>
      <w:r>
        <w:t xml:space="preserve"> keys no longer needed are revoked or deactivated and securely destroyed, unless they must be kept to decrypt archived information, in which case they are kept securely for </w:t>
      </w:r>
      <w:r>
        <w:rPr>
          <w:highlight w:val="yellow"/>
        </w:rPr>
        <w:t xml:space="preserve">[the retention period]</w:t>
      </w:r>
      <w:r>
        <w:t xml:space="preserve"> (5.33).</w:t>
      </w:r>
    </w:p>
    <w:p>
      <w:pPr>
        <w:pStyle w:val="ListParagraph"/>
        <w:numPr>
          <w:ilvl w:val="0"/>
          <w:numId w:val="2"/>
        </w:numPr>
        <w:spacing w:after="90"/>
      </w:pPr>
      <w:r>
        <w:rPr>
          <w:b/>
          <w:bCs/>
        </w:rPr>
        <w:t xml:space="preserve">Records and equipment:</w:t>
      </w:r>
      <w:r>
        <w:t xml:space="preserve"> key generation, issue, rotation, revocation and destruction are recorded, and equipment used to generate or store keys, such as hardware security modules, is physically protected.</w:t>
      </w:r>
    </w:p>
    <w:p>
      <w:pPr>
        <w:pStyle w:val="Heading2"/>
      </w:pPr>
      <w:r>
        <w:t xml:space="preserve">6. Cloud and supplier-managed cryptography</w:t>
      </w:r>
    </w:p>
    <w:p>
      <w:pPr>
        <w:keepNext/>
        <w:spacing w:after="100" w:before="0"/>
      </w:pPr>
      <w:r>
        <w:rPr>
          <w:i/>
          <w:iCs/>
          <w:color w:val="5B6770"/>
          <w:sz w:val="18"/>
          <w:szCs w:val="18"/>
        </w:rPr>
        <w:t xml:space="preserve">Supports Annex A 5.19 Information security in supplier relationships; 5.23 Information security for use of cloud services</w:t>
      </w:r>
    </w:p>
    <w:p>
      <w:pPr>
        <w:pStyle w:val="ListParagraph"/>
        <w:numPr>
          <w:ilvl w:val="0"/>
          <w:numId w:val="2"/>
        </w:numPr>
        <w:spacing w:after="90"/>
      </w:pPr>
      <w:r>
        <w:t xml:space="preserve">Where a cloud provider or supplier manages encryption or keys for us, we record this in the key and certificate register and check that their controls meet this policy, using the assurance described in the </w:t>
      </w:r>
      <w:r>
        <w:rPr>
          <w:highlight w:val="yellow"/>
        </w:rPr>
        <w:t xml:space="preserve">[Supplier Security Policy]</w:t>
      </w:r>
      <w:r>
        <w:t xml:space="preserve">.</w:t>
      </w:r>
    </w:p>
    <w:p>
      <w:pPr>
        <w:pStyle w:val="ListParagraph"/>
        <w:numPr>
          <w:ilvl w:val="0"/>
          <w:numId w:val="2"/>
        </w:numPr>
        <w:spacing w:after="90"/>
      </w:pPr>
      <w:r>
        <w:t xml:space="preserve">For </w:t>
      </w:r>
      <w:r>
        <w:rPr>
          <w:highlight w:val="yellow"/>
        </w:rPr>
        <w:t xml:space="preserve">[critical services or highly sensitive data]</w:t>
      </w:r>
      <w:r>
        <w:t xml:space="preserve">, we consider customer-managed keys, so that we can control and revoke access to our data.</w:t>
      </w:r>
    </w:p>
    <w:p>
      <w:pPr>
        <w:pStyle w:val="ListParagraph"/>
        <w:numPr>
          <w:ilvl w:val="0"/>
          <w:numId w:val="2"/>
        </w:numPr>
        <w:spacing w:after="90"/>
      </w:pPr>
      <w:r>
        <w:t xml:space="preserve">Agreements with providers of cryptographic services, such as certificate authorities, cover their liability, the reliability of the service and response times.</w:t>
      </w:r>
    </w:p>
    <w:p>
      <w:pPr>
        <w:pStyle w:val="Heading2"/>
      </w:pPr>
      <w:r>
        <w:t xml:space="preserve">7. Legal and regulatory requirements</w:t>
      </w:r>
    </w:p>
    <w:p>
      <w:pPr>
        <w:keepNext/>
        <w:spacing w:after="100" w:before="0"/>
      </w:pPr>
      <w:r>
        <w:rPr>
          <w:i/>
          <w:iCs/>
          <w:color w:val="5B6770"/>
          <w:sz w:val="18"/>
          <w:szCs w:val="18"/>
        </w:rPr>
        <w:t xml:space="preserve">Supports Annex A 5.31 Legal, statutory, regulatory and contractual requirements; 5.34 Privacy and protection of PII</w:t>
      </w:r>
    </w:p>
    <w:p>
      <w:pPr>
        <w:pStyle w:val="ListParagraph"/>
        <w:numPr>
          <w:ilvl w:val="0"/>
          <w:numId w:val="2"/>
        </w:numPr>
        <w:spacing w:after="90"/>
      </w:pPr>
      <w:r>
        <w:t xml:space="preserve">We meet legal, regulatory and contractual requirements on cryptography, including </w:t>
      </w:r>
      <w:r>
        <w:rPr>
          <w:highlight w:val="yellow"/>
        </w:rPr>
        <w:t xml:space="preserve">[UK GDPR Article 32, which names encryption as an example of an appropriate security measure, and PCI DSS requirements for card data]</w:t>
      </w:r>
      <w:r>
        <w:t xml:space="preserve">.</w:t>
      </w:r>
    </w:p>
    <w:p>
      <w:pPr>
        <w:pStyle w:val="ListParagraph"/>
        <w:numPr>
          <w:ilvl w:val="0"/>
          <w:numId w:val="2"/>
        </w:numPr>
        <w:spacing w:after="90"/>
      </w:pPr>
      <w:r>
        <w:t xml:space="preserve">Before an encrypted device or encryption software is taken to another country, check with </w:t>
      </w:r>
      <w:r>
        <w:rPr>
          <w:highlight w:val="yellow"/>
        </w:rPr>
        <w:t xml:space="preserve">[IT manager]</w:t>
      </w:r>
      <w:r>
        <w:t xml:space="preserve">. Some countries restrict the import or use of encryption, and UK export controls can apply to some cryptographic products.</w:t>
      </w:r>
    </w:p>
    <w:p>
      <w:pPr>
        <w:pStyle w:val="ListParagraph"/>
        <w:numPr>
          <w:ilvl w:val="0"/>
          <w:numId w:val="2"/>
        </w:numPr>
        <w:spacing w:after="90"/>
      </w:pPr>
      <w:r>
        <w:t xml:space="preserve">Requests from authorities for keys or decrypted information, for example a notice under Part III of the Regulation of Investigatory Powers Act 2000, go straight to </w:t>
      </w:r>
      <w:r>
        <w:rPr>
          <w:highlight w:val="yellow"/>
        </w:rPr>
        <w:t xml:space="preserve">[director or legal adviser]</w:t>
      </w:r>
      <w:r>
        <w:t xml:space="preserve"> and are handled with legal advice.</w:t>
      </w:r>
    </w:p>
    <w:p>
      <w:pPr>
        <w:pStyle w:val="Heading2"/>
      </w:pPr>
      <w:r>
        <w:t xml:space="preserve">8. Encryption and security monitoring</w:t>
      </w:r>
    </w:p>
    <w:p>
      <w:pPr>
        <w:keepNext/>
        <w:spacing w:after="100" w:before="0"/>
      </w:pPr>
      <w:r>
        <w:rPr>
          <w:i/>
          <w:iCs/>
          <w:color w:val="5B6770"/>
          <w:sz w:val="18"/>
          <w:szCs w:val="18"/>
        </w:rPr>
        <w:t xml:space="preserve">Supports Annex A 8.24 Use of cryptography</w:t>
      </w:r>
    </w:p>
    <w:p>
      <w:pPr>
        <w:pStyle w:val="ListParagraph"/>
        <w:numPr>
          <w:ilvl w:val="0"/>
          <w:numId w:val="2"/>
        </w:numPr>
        <w:spacing w:after="90"/>
      </w:pPr>
      <w:r>
        <w:t xml:space="preserve">Encryption can stop security tools from inspecting content. Encrypted or password-protected attachments from outside the organisation are </w:t>
      </w:r>
      <w:r>
        <w:rPr>
          <w:highlight w:val="yellow"/>
        </w:rPr>
        <w:t xml:space="preserve">[blocked or held for checking]</w:t>
      </w:r>
      <w:r>
        <w:t xml:space="preserve"> by email filtering.</w:t>
      </w:r>
    </w:p>
    <w:p>
      <w:pPr>
        <w:pStyle w:val="ListParagraph"/>
        <w:numPr>
          <w:ilvl w:val="0"/>
          <w:numId w:val="2"/>
        </w:numPr>
        <w:spacing w:after="90"/>
      </w:pPr>
      <w:r>
        <w:rPr>
          <w:highlight w:val="yellow"/>
        </w:rPr>
        <w:t xml:space="preserve">[Web traffic is inspected by decrypting TLS where this is lawful and proportionate, excluding categories such as banking and health.]</w:t>
      </w:r>
      <w:r>
        <w:t xml:space="preserve"> Any inspection is described in the </w:t>
      </w:r>
      <w:r>
        <w:rPr>
          <w:highlight w:val="yellow"/>
        </w:rPr>
        <w:t xml:space="preserve">[Acceptable Use Policy]</w:t>
      </w:r>
      <w:r>
        <w:t xml:space="preserve">.</w:t>
      </w:r>
    </w:p>
    <w:p>
      <w:pPr>
        <w:pStyle w:val="ListParagraph"/>
        <w:numPr>
          <w:ilvl w:val="0"/>
          <w:numId w:val="2"/>
        </w:numPr>
        <w:spacing w:after="90"/>
      </w:pPr>
      <w:r>
        <w:t xml:space="preserve">Encryption tools are installed only by </w:t>
      </w:r>
      <w:r>
        <w:rPr>
          <w:highlight w:val="yellow"/>
        </w:rPr>
        <w:t xml:space="preserve">[IT]</w:t>
      </w:r>
      <w:r>
        <w:t xml:space="preserve">. Using unapproved encryption to hide information from </w:t>
      </w:r>
      <w:r>
        <w:rPr>
          <w:highlight w:val="yellow"/>
        </w:rPr>
        <w:t xml:space="preserve">[Organisation name]</w:t>
      </w:r>
      <w:r>
        <w:t xml:space="preserve"> is not allowed.</w:t>
      </w:r>
    </w:p>
    <w:p>
      <w:pPr>
        <w:pStyle w:val="Heading2"/>
      </w:pPr>
      <w:r>
        <w:t xml:space="preserve">9. Roles and responsibilities</w:t>
      </w:r>
    </w:p>
    <w:p>
      <w:pPr>
        <w:pStyle w:val="ListParagraph"/>
        <w:numPr>
          <w:ilvl w:val="0"/>
          <w:numId w:val="2"/>
        </w:numPr>
        <w:spacing w:after="90"/>
      </w:pPr>
      <w:r>
        <w:rPr>
          <w:highlight w:val="yellow"/>
        </w:rPr>
        <w:t xml:space="preserve">[Top management]</w:t>
      </w:r>
      <w:r>
        <w:t xml:space="preserve"> approves this policy.</w:t>
      </w:r>
    </w:p>
    <w:p>
      <w:pPr>
        <w:pStyle w:val="ListParagraph"/>
        <w:numPr>
          <w:ilvl w:val="0"/>
          <w:numId w:val="2"/>
        </w:numPr>
        <w:spacing w:after="90"/>
      </w:pPr>
      <w:r>
        <w:rPr>
          <w:highlight w:val="yellow"/>
        </w:rPr>
        <w:t xml:space="preserve">[IT manager]</w:t>
      </w:r>
      <w:r>
        <w:t xml:space="preserve"> owns this policy, maintains the approved cryptography table and the key and certificate register, and approves exceptions to the technical standards.</w:t>
      </w:r>
    </w:p>
    <w:p>
      <w:pPr>
        <w:pStyle w:val="ListParagraph"/>
        <w:numPr>
          <w:ilvl w:val="0"/>
          <w:numId w:val="2"/>
        </w:numPr>
        <w:spacing w:after="90"/>
      </w:pPr>
      <w:r>
        <w:t xml:space="preserve">Key custodians generate, store, rotate, back up and destroy the keys assigned to them in line with this policy.</w:t>
      </w:r>
    </w:p>
    <w:p>
      <w:pPr>
        <w:pStyle w:val="ListParagraph"/>
        <w:numPr>
          <w:ilvl w:val="0"/>
          <w:numId w:val="2"/>
        </w:numPr>
        <w:spacing w:after="90"/>
      </w:pPr>
      <w:r>
        <w:t xml:space="preserve">Developers use approved libraries and the key vault, never put secrets in code, and follow the </w:t>
      </w:r>
      <w:r>
        <w:rPr>
          <w:highlight w:val="yellow"/>
        </w:rPr>
        <w:t xml:space="preserve">[Secure Development Policy]</w:t>
      </w:r>
      <w:r>
        <w:t xml:space="preserve"> (8.26, 8.28).</w:t>
      </w:r>
    </w:p>
    <w:p>
      <w:pPr>
        <w:pStyle w:val="ListParagraph"/>
        <w:numPr>
          <w:ilvl w:val="0"/>
          <w:numId w:val="2"/>
        </w:numPr>
        <w:spacing w:after="90"/>
      </w:pPr>
      <w:r>
        <w:rPr>
          <w:highlight w:val="yellow"/>
        </w:rPr>
        <w:t xml:space="preserve">[Managed service provider]</w:t>
      </w:r>
      <w:r>
        <w:t xml:space="preserve"> configures encryption and certificates on the systems it manages in line with this policy.</w:t>
      </w:r>
    </w:p>
    <w:p>
      <w:pPr>
        <w:pStyle w:val="ListParagraph"/>
        <w:numPr>
          <w:ilvl w:val="0"/>
          <w:numId w:val="2"/>
        </w:numPr>
        <w:spacing w:after="90"/>
      </w:pPr>
      <w:r>
        <w:rPr>
          <w:highlight w:val="yellow"/>
        </w:rPr>
        <w:t xml:space="preserve">[ISMS manager]</w:t>
      </w:r>
      <w:r>
        <w:t xml:space="preserve"> checks that this policy is followed, through reviews and internal audit.</w:t>
      </w:r>
    </w:p>
    <w:p>
      <w:pPr>
        <w:pStyle w:val="ListParagraph"/>
        <w:numPr>
          <w:ilvl w:val="0"/>
          <w:numId w:val="2"/>
        </w:numPr>
        <w:spacing w:after="90"/>
      </w:pPr>
      <w:r>
        <w:t xml:space="preserve">Everyone reports the suspected loss or compromise of a key, certificate, password or encrypted device straight away to </w:t>
      </w:r>
      <w:r>
        <w:rPr>
          <w:highlight w:val="yellow"/>
        </w:rPr>
        <w:t xml:space="preserve">[contact]</w:t>
      </w:r>
      <w:r>
        <w:t xml:space="preserve">.</w:t>
      </w:r>
    </w:p>
    <w:p>
      <w:pPr>
        <w:pStyle w:val="Heading2"/>
      </w:pPr>
      <w:r>
        <w:t xml:space="preserve">10. Exceptions</w:t>
      </w:r>
    </w:p>
    <w:p>
      <w:pPr>
        <w:pStyle w:val="ListParagraph"/>
        <w:numPr>
          <w:ilvl w:val="0"/>
          <w:numId w:val="2"/>
        </w:numPr>
        <w:spacing w:after="90"/>
      </w:pPr>
      <w:r>
        <w:t xml:space="preserve">Exceptions are requested in writing to </w:t>
      </w:r>
      <w:r>
        <w:rPr>
          <w:highlight w:val="yellow"/>
        </w:rPr>
        <w:t xml:space="preserve">[ISMS manager]</w:t>
      </w:r>
      <w:r>
        <w:t xml:space="preserve">, risk assessed, approved by the relevant risk owner, time-limited and recorded, as set out in the </w:t>
      </w:r>
      <w:r>
        <w:rPr>
          <w:highlight w:val="yellow"/>
        </w:rPr>
        <w:t xml:space="preserve">[Information Security Policy]</w:t>
      </w:r>
      <w:r>
        <w:t xml:space="preserve">.</w:t>
      </w:r>
    </w:p>
    <w:p>
      <w:pPr>
        <w:pStyle w:val="Heading2"/>
      </w:pPr>
      <w:r>
        <w:t xml:space="preserve">11. Compliance</w:t>
      </w:r>
    </w:p>
    <w:p>
      <w:pPr>
        <w:pStyle w:val="ListParagraph"/>
        <w:numPr>
          <w:ilvl w:val="0"/>
          <w:numId w:val="2"/>
        </w:numPr>
        <w:spacing w:after="90"/>
      </w:pPr>
      <w:r>
        <w:t xml:space="preserve">Compliance is checked through configuration reviews, vulnerability scans, penetration tests and internal audits, which look for weak protocols, unencrypted devices, expired certificates and exposed secrets.</w:t>
      </w:r>
    </w:p>
    <w:p>
      <w:pPr>
        <w:pStyle w:val="Heading2"/>
      </w:pPr>
      <w:r>
        <w:t xml:space="preserve">12. Related documents</w:t>
      </w:r>
    </w:p>
    <w:p>
      <w:pPr>
        <w:pStyle w:val="ListParagraph"/>
        <w:numPr>
          <w:ilvl w:val="0"/>
          <w:numId w:val="2"/>
        </w:numPr>
        <w:spacing w:after="90"/>
      </w:pPr>
      <w:r>
        <w:rPr>
          <w:highlight w:val="yellow"/>
        </w:rPr>
        <w:t xml:space="preserve">[Information Security Policy]</w:t>
      </w:r>
      <w:r>
        <w:t xml:space="preserve">, </w:t>
      </w:r>
      <w:r>
        <w:rPr>
          <w:highlight w:val="yellow"/>
        </w:rPr>
        <w:t xml:space="preserve">[Access Control Policy]</w:t>
      </w:r>
      <w:r>
        <w:t xml:space="preserve">, </w:t>
      </w:r>
      <w:r>
        <w:rPr>
          <w:highlight w:val="yellow"/>
        </w:rPr>
        <w:t xml:space="preserve">[Acceptable Use Policy]</w:t>
      </w:r>
      <w:r>
        <w:t xml:space="preserve">, </w:t>
      </w:r>
      <w:r>
        <w:rPr>
          <w:highlight w:val="yellow"/>
        </w:rPr>
        <w:t xml:space="preserve">[Supplier Security Policy]</w:t>
      </w:r>
      <w:r>
        <w:t xml:space="preserve">, </w:t>
      </w:r>
      <w:r>
        <w:rPr>
          <w:highlight w:val="yellow"/>
        </w:rPr>
        <w:t xml:space="preserve">[Secure Development Policy]</w:t>
      </w:r>
      <w:r>
        <w:t xml:space="preserve">, </w:t>
      </w:r>
      <w:r>
        <w:rPr>
          <w:highlight w:val="yellow"/>
        </w:rPr>
        <w:t xml:space="preserve">[Backup Policy]</w:t>
      </w:r>
      <w:r>
        <w:t xml:space="preserve"> and </w:t>
      </w:r>
      <w:r>
        <w:rPr>
          <w:highlight w:val="yellow"/>
        </w:rPr>
        <w:t xml:space="preserve">[Incident Response Plan]</w:t>
      </w:r>
      <w:r>
        <w:t xml:space="preserve">.</w:t>
      </w:r>
    </w:p>
    <w:p>
      <w:pPr>
        <w:pStyle w:val="ListParagraph"/>
        <w:numPr>
          <w:ilvl w:val="0"/>
          <w:numId w:val="2"/>
        </w:numPr>
        <w:spacing w:after="90"/>
      </w:pPr>
      <w:r>
        <w:t xml:space="preserve">Key and certificate register (Appendix A) and </w:t>
      </w:r>
      <w:r>
        <w:rPr>
          <w:highlight w:val="yellow"/>
        </w:rPr>
        <w:t xml:space="preserve">[key management procedures]</w:t>
      </w:r>
      <w:r>
        <w:t xml:space="preserve">.</w:t>
      </w:r>
    </w:p>
    <w:p>
      <w:pPr>
        <w:pStyle w:val="Heading2"/>
      </w:pPr>
      <w:r>
        <w:t xml:space="preserve">13. Review and approval</w:t>
      </w:r>
    </w:p>
    <w:p>
      <w:pPr>
        <w:pStyle w:val="ListParagraph"/>
        <w:numPr>
          <w:ilvl w:val="0"/>
          <w:numId w:val="2"/>
        </w:numPr>
        <w:spacing w:after="90"/>
      </w:pPr>
      <w:r>
        <w:t xml:space="preserve">This policy is communicated to and acknowledged by everyone within its scope.</w:t>
      </w:r>
    </w:p>
    <w:p>
      <w:pPr>
        <w:pStyle w:val="ListParagraph"/>
        <w:numPr>
          <w:ilvl w:val="0"/>
          <w:numId w:val="2"/>
        </w:numPr>
        <w:spacing w:after="90"/>
      </w:pPr>
      <w:r>
        <w:t xml:space="preserve">Reviewed at least every </w:t>
      </w:r>
      <w:r>
        <w:rPr>
          <w:highlight w:val="yellow"/>
        </w:rPr>
        <w:t xml:space="preserve">[12]</w:t>
      </w:r>
      <w:r>
        <w:t xml:space="preserve"> months and after significant change. Approved by </w:t>
      </w:r>
      <w:r>
        <w:rPr>
          <w:highlight w:val="yellow"/>
        </w:rPr>
        <w:t xml:space="preserve">[name, role]</w:t>
      </w:r>
      <w:r>
        <w:t xml:space="preserve"> on </w:t>
      </w:r>
      <w:r>
        <w:rPr>
          <w:highlight w:val="yellow"/>
        </w:rPr>
        <w:t xml:space="preserve">[date]</w:t>
      </w:r>
      <w:r>
        <w:t xml:space="preserve">. Version </w:t>
      </w:r>
      <w:r>
        <w:rPr>
          <w:highlight w:val="yellow"/>
        </w:rPr>
        <w:t xml:space="preserve">[x]</w:t>
      </w:r>
      <w:r>
        <w:t xml:space="preserve">.</w:t>
      </w:r>
    </w:p>
    <w:p>
      <w:pPr>
        <w:pStyle w:val="Heading1"/>
        <w:pageBreakBefore/>
      </w:pPr>
      <w:r>
        <w:t xml:space="preserve">Part B: Which Annex A controls does this policy support?</w:t>
      </w:r>
    </w:p>
    <w:p>
      <w:pPr>
        <w:keepNext/>
        <w:spacing w:after="140" w:before="0"/>
      </w:pPr>
      <w:r>
        <w:t xml:space="preserve">This policy is written to meet Annex A control 8.24. Use the table when you complete your Statement of Applicability, so the control points to the rules that implement 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3500"/>
        <w:gridCol w:w="5138"/>
      </w:tblGrid>
      <w:tr>
        <w:trPr>
          <w:cantSplit/>
          <w:tblHeader/>
        </w:trPr>
        <w:tc>
          <w:tcPr>
            <w:tcW w:type="dxa" w:w="1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Control</w:t>
            </w:r>
          </w:p>
        </w:tc>
        <w:tc>
          <w:tcPr>
            <w:tcW w:type="dxa" w:w="35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Title</w:t>
            </w:r>
          </w:p>
        </w:tc>
        <w:tc>
          <w:tcPr>
            <w:tcW w:type="dxa" w:w="51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Where this policy addresses it</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8.24</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Use of cryptography</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r>
              <w:rPr>
                <w:b w:val="false"/>
                <w:bCs w:val="false"/>
                <w:sz w:val="20"/>
                <w:szCs w:val="20"/>
              </w:rPr>
              <w:t xml:space="preserve">3. Where cryptography must be used</w:t>
            </w:r>
          </w:p>
          <w:p>
            <w:pPr>
              <w:spacing w:after="60" w:before="0"/>
            </w:pPr>
            <w:r>
              <w:rPr>
                <w:b w:val="false"/>
                <w:bCs w:val="false"/>
                <w:sz w:val="20"/>
                <w:szCs w:val="20"/>
              </w:rPr>
              <w:t xml:space="preserve">4. Approved cryptography</w:t>
            </w:r>
          </w:p>
          <w:p>
            <w:pPr>
              <w:spacing w:after="60" w:before="0"/>
            </w:pPr>
            <w:r>
              <w:rPr>
                <w:b w:val="false"/>
                <w:bCs w:val="false"/>
                <w:sz w:val="20"/>
                <w:szCs w:val="20"/>
              </w:rPr>
              <w:t xml:space="preserve">5. Key management</w:t>
            </w:r>
          </w:p>
          <w:p>
            <w:pPr>
              <w:spacing w:after="60" w:before="0"/>
            </w:pPr>
            <w:r>
              <w:rPr>
                <w:b w:val="false"/>
                <w:bCs w:val="false"/>
                <w:sz w:val="20"/>
                <w:szCs w:val="20"/>
              </w:rPr>
              <w:t xml:space="preserve">6. Cloud and supplier-managed cryptography</w:t>
            </w:r>
          </w:p>
          <w:p>
            <w:pPr>
              <w:spacing w:after="60" w:before="0"/>
            </w:pPr>
            <w:r>
              <w:rPr>
                <w:b w:val="false"/>
                <w:bCs w:val="false"/>
                <w:sz w:val="20"/>
                <w:szCs w:val="20"/>
              </w:rPr>
              <w:t xml:space="preserve">7. Legal and regulatory requirements</w:t>
            </w:r>
          </w:p>
          <w:p>
            <w:pPr>
              <w:spacing w:after="60" w:before="0"/>
            </w:pPr>
            <w:r>
              <w:rPr>
                <w:b w:val="false"/>
                <w:bCs w:val="false"/>
                <w:sz w:val="20"/>
                <w:szCs w:val="20"/>
              </w:rPr>
              <w:t xml:space="preserve">8. Encryption and security monitoring</w:t>
            </w:r>
          </w:p>
        </w:tc>
      </w:tr>
    </w:tbl>
    <w:p>
      <w:pPr>
        <w:pStyle w:val="Heading2"/>
      </w:pPr>
      <w:r>
        <w:t xml:space="preserve">Related controls</w:t>
      </w:r>
    </w:p>
    <w:p>
      <w:pPr>
        <w:keepNext/>
        <w:spacing w:after="140" w:before="0"/>
      </w:pPr>
      <w:r>
        <w:t xml:space="preserve">These controls are mainly met elsewhere, but this policy contains rules that support them. Cross-reference them in your Statement of Applicability where it helps.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3500"/>
        <w:gridCol w:w="5138"/>
      </w:tblGrid>
      <w:tr>
        <w:trPr>
          <w:cantSplit/>
          <w:tblHeader/>
        </w:trPr>
        <w:tc>
          <w:tcPr>
            <w:tcW w:type="dxa" w:w="10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Control</w:t>
            </w:r>
          </w:p>
        </w:tc>
        <w:tc>
          <w:tcPr>
            <w:tcW w:type="dxa" w:w="35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Title</w:t>
            </w:r>
          </w:p>
        </w:tc>
        <w:tc>
          <w:tcPr>
            <w:tcW w:type="dxa" w:w="51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Where this policy supports it</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5.12</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Classification of information</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3. Where cryptography must be used</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5.14</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Information transfer</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3. Where cryptography must be used</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5.17</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Authentication information</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r>
              <w:rPr>
                <w:b w:val="false"/>
                <w:bCs w:val="false"/>
                <w:sz w:val="20"/>
                <w:szCs w:val="20"/>
              </w:rPr>
              <w:t xml:space="preserve">3. Where cryptography must be used</w:t>
            </w:r>
          </w:p>
          <w:p>
            <w:pPr>
              <w:spacing w:after="60" w:before="0"/>
            </w:pPr>
            <w:r>
              <w:rPr>
                <w:b w:val="false"/>
                <w:bCs w:val="false"/>
                <w:sz w:val="20"/>
                <w:szCs w:val="20"/>
              </w:rPr>
              <w:t xml:space="preserve">4. Approved cryptography</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5.19</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Information security in supplier relationships</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6. Cloud and supplier-managed cryptography</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5.23</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Information security for use of cloud services</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6. Cloud and supplier-managed cryptography</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5.24</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Information security incident management planning and preparation</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5. Key management</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5.31</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Legal, statutory, regulatory and contractual requirements</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7. Legal and regulatory requirements</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5.33</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Protection of records</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5. Key management</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5.34</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Privacy and protection of PII</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r>
              <w:rPr>
                <w:b w:val="false"/>
                <w:bCs w:val="false"/>
                <w:sz w:val="20"/>
                <w:szCs w:val="20"/>
              </w:rPr>
              <w:t xml:space="preserve">3. Where cryptography must be used</w:t>
            </w:r>
          </w:p>
          <w:p>
            <w:pPr>
              <w:spacing w:after="60" w:before="0"/>
            </w:pPr>
            <w:r>
              <w:rPr>
                <w:b w:val="false"/>
                <w:bCs w:val="false"/>
                <w:sz w:val="20"/>
                <w:szCs w:val="20"/>
              </w:rPr>
              <w:t xml:space="preserve">7. Legal and regulatory requirements</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7.10</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Storage media</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3. Where cryptography must be used</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8.1</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User endpoint devices</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3. Where cryptography must be used</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8.13</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Information backup</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3. Where cryptography must be used</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8.15</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Logging</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5. Key management</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8.20</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Networks security</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3. Where cryptography must be used</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8.21</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Security of network services</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r>
              <w:rPr>
                <w:b w:val="false"/>
                <w:bCs w:val="false"/>
                <w:sz w:val="20"/>
                <w:szCs w:val="20"/>
              </w:rPr>
              <w:t xml:space="preserve">3. Where cryptography must be used</w:t>
            </w:r>
          </w:p>
          <w:p>
            <w:pPr>
              <w:spacing w:after="60" w:before="0"/>
            </w:pPr>
            <w:r>
              <w:rPr>
                <w:b w:val="false"/>
                <w:bCs w:val="false"/>
                <w:sz w:val="20"/>
                <w:szCs w:val="20"/>
              </w:rPr>
              <w:t xml:space="preserve">4. Approved cryptography</w:t>
            </w:r>
          </w:p>
        </w:tc>
      </w:tr>
      <w:tr>
        <w:trPr>
          <w:cantSplit/>
        </w:trPr>
        <w:tc>
          <w:tcPr>
            <w:tcW w:type="dxa" w:w="10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8.26</w:t>
            </w:r>
          </w:p>
        </w:tc>
        <w:tc>
          <w:tcPr>
            <w:tcW w:type="dxa" w:w="3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Application security requirements</w:t>
            </w:r>
          </w:p>
        </w:tc>
        <w:tc>
          <w:tcPr>
            <w:tcW w:type="dxa" w:w="51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9. Roles and responsibilities</w:t>
            </w:r>
          </w:p>
        </w:tc>
      </w:tr>
      <w:tr>
        <w:trPr>
          <w:cantSplit/>
        </w:trPr>
        <w:tc>
          <w:tcPr>
            <w:tcW w:type="dxa" w:w="10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8.28</w:t>
            </w:r>
          </w:p>
        </w:tc>
        <w:tc>
          <w:tcPr>
            <w:tcW w:type="dxa" w:w="3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Secure coding</w:t>
            </w:r>
          </w:p>
        </w:tc>
        <w:tc>
          <w:tcPr>
            <w:tcW w:type="dxa" w:w="51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60" w:before="0"/>
            </w:pPr>
            <w:r>
              <w:rPr>
                <w:b w:val="false"/>
                <w:bCs w:val="false"/>
                <w:sz w:val="20"/>
                <w:szCs w:val="20"/>
              </w:rPr>
              <w:t xml:space="preserve">4. Approved cryptography</w:t>
            </w:r>
          </w:p>
          <w:p>
            <w:pPr>
              <w:spacing w:after="60" w:before="0"/>
            </w:pPr>
            <w:r>
              <w:rPr>
                <w:b w:val="false"/>
                <w:bCs w:val="false"/>
                <w:sz w:val="20"/>
                <w:szCs w:val="20"/>
              </w:rPr>
              <w:t xml:space="preserve">9. Roles and responsibilities</w:t>
            </w:r>
          </w:p>
        </w:tc>
      </w:tr>
    </w:tbl>
    <w:p>
      <w:pPr>
        <w:spacing w:after="80" w:before="0"/>
      </w:pPr>
    </w:p>
    <w:p>
      <w:pPr>
        <w:spacing w:after="140" w:before="0"/>
      </w:pPr>
      <w:r>
        <w:t xml:space="preserve">Control numbers follow ISO/IEC 27001:2022. If your documents still use 2013 references such as A.9, A.10 or A.15, update them: the transition period for the 2013 edition ended on 31 October 2025.</w:t>
      </w:r>
    </w:p>
    <w:p>
      <w:pPr>
        <w:pStyle w:val="Heading1"/>
        <w:pageBreakBefore/>
      </w:pPr>
      <w:r>
        <w:t xml:space="preserve">Part C: Evidence auditors ask for, and checks before you approve</w:t>
      </w:r>
    </w:p>
    <w:p>
      <w:pPr>
        <w:keepNext/>
        <w:spacing w:after="140" w:before="0"/>
      </w:pPr>
      <w:r>
        <w:t xml:space="preserve">A policy is only as strong as the records that show it is followed. These are the records a certification auditor is likely to sample for this policy: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938"/>
      </w:tblGrid>
      <w:tr>
        <w:trPr>
          <w:cantSplit/>
          <w:tblHeader/>
        </w:trPr>
        <w:tc>
          <w:tcPr>
            <w:tcW w:type="dxa" w:w="2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Policy area</w:t>
            </w:r>
          </w:p>
        </w:tc>
        <w:tc>
          <w:tcPr>
            <w:tcW w:type="dxa" w:w="6938"/>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Records that show the rules are followed</w:t>
            </w:r>
          </w:p>
        </w:tc>
      </w:tr>
      <w:tr>
        <w:trPr>
          <w:cantSpli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Device encryption</w:t>
            </w:r>
          </w:p>
        </w:tc>
        <w:tc>
          <w:tcPr>
            <w:tcW w:type="dxa" w:w="69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A device management report showing the encryption status of every laptop and phone, and that recovery keys are stored centrally</w:t>
            </w:r>
          </w:p>
        </w:tc>
      </w:tr>
      <w:tr>
        <w:trPr>
          <w:cantSpli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Data in transit</w:t>
            </w:r>
          </w:p>
        </w:tc>
        <w:tc>
          <w:tcPr>
            <w:tcW w:type="dxa" w:w="69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TLS configuration results for websites and APIs, for example from a vulnerability scan, showing no SSL, TLS 1.0 or TLS 1.1</w:t>
            </w:r>
          </w:p>
        </w:tc>
      </w:tr>
      <w:tr>
        <w:trPr>
          <w:cantSpli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Key management</w:t>
            </w:r>
          </w:p>
        </w:tc>
        <w:tc>
          <w:tcPr>
            <w:tcW w:type="dxa" w:w="69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The key and certificate register, key vault access logs and records of rotation</w:t>
            </w:r>
          </w:p>
        </w:tc>
      </w:tr>
      <w:tr>
        <w:trPr>
          <w:cantSpli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Certificates</w:t>
            </w:r>
          </w:p>
        </w:tc>
        <w:tc>
          <w:tcPr>
            <w:tcW w:type="dxa" w:w="69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Expiry monitoring or automatic renewal, and no expired certificates in use</w:t>
            </w:r>
          </w:p>
        </w:tc>
      </w:tr>
      <w:tr>
        <w:trPr>
          <w:cantSplit/>
        </w:trPr>
        <w:tc>
          <w:tcPr>
            <w:tcW w:type="dxa" w:w="2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rPr>
              <w:t xml:space="preserve">Secrets in code</w:t>
            </w:r>
          </w:p>
        </w:tc>
        <w:tc>
          <w:tcPr>
            <w:tcW w:type="dxa" w:w="6938"/>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rPr>
              <w:t xml:space="preserve">Results of secret scanning on code repositories, and how findings were fixed</w:t>
            </w:r>
          </w:p>
        </w:tc>
      </w:tr>
      <w:tr>
        <w:trPr>
          <w:cantSplit/>
        </w:trPr>
        <w:tc>
          <w:tcPr>
            <w:tcW w:type="dxa" w:w="2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rPr>
              <w:t xml:space="preserve">Backups</w:t>
            </w:r>
          </w:p>
        </w:tc>
        <w:tc>
          <w:tcPr>
            <w:tcW w:type="dxa" w:w="6938"/>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rPr>
              <w:t xml:space="preserve">Backup encryption settings for each backup job</w:t>
            </w:r>
          </w:p>
        </w:tc>
      </w:tr>
    </w:tbl>
    <w:p>
      <w:pPr>
        <w:pStyle w:val="Heading2"/>
      </w:pPr>
      <w:r>
        <w:t xml:space="preserve">Checks before you approve</w:t>
      </w:r>
    </w:p>
    <w:p>
      <w:pPr>
        <w:keepNext/>
        <w:spacing w:after="140" w:before="0"/>
      </w:pPr>
      <w:r>
        <w:t xml:space="preserve">Templates fail in predictable ways. Before you approve this policy, check for these:</w:t>
      </w:r>
    </w:p>
    <w:p>
      <w:pPr>
        <w:pStyle w:val="ListParagraph"/>
        <w:numPr>
          <w:ilvl w:val="0"/>
          <w:numId w:val="2"/>
        </w:numPr>
        <w:spacing w:after="90"/>
      </w:pPr>
      <w:r>
        <w:rPr>
          <w:b/>
          <w:bCs/>
        </w:rPr>
        <w:t xml:space="preserve">A table nobody has checked.</w:t>
      </w:r>
      <w:r>
        <w:t xml:space="preserve"> The policy says TLS 1.2 or higher, but a scan finds TLS 1.0 still enabled on an old server.</w:t>
      </w:r>
    </w:p>
    <w:p>
      <w:pPr>
        <w:pStyle w:val="ListParagraph"/>
        <w:numPr>
          <w:ilvl w:val="0"/>
          <w:numId w:val="2"/>
        </w:numPr>
        <w:spacing w:after="90"/>
      </w:pPr>
      <w:r>
        <w:rPr>
          <w:b/>
          <w:bCs/>
        </w:rPr>
        <w:t xml:space="preserve">Encryption reported for managed devices only.</w:t>
      </w:r>
      <w:r>
        <w:t xml:space="preserve"> Unmanaged or older devices are left out of the encryption report.</w:t>
      </w:r>
    </w:p>
    <w:p>
      <w:pPr>
        <w:pStyle w:val="ListParagraph"/>
        <w:numPr>
          <w:ilvl w:val="0"/>
          <w:numId w:val="2"/>
        </w:numPr>
        <w:spacing w:after="90"/>
      </w:pPr>
      <w:r>
        <w:rPr>
          <w:b/>
          <w:bCs/>
        </w:rPr>
        <w:t xml:space="preserve">Recovery keys nobody can find.</w:t>
      </w:r>
      <w:r>
        <w:t xml:space="preserve"> Encrypted devices whose recovery keys were never stored centrally, so the data cannot be recovered.</w:t>
      </w:r>
    </w:p>
    <w:p>
      <w:pPr>
        <w:pStyle w:val="ListParagraph"/>
        <w:numPr>
          <w:ilvl w:val="0"/>
          <w:numId w:val="2"/>
        </w:numPr>
        <w:spacing w:after="90"/>
      </w:pPr>
      <w:r>
        <w:rPr>
          <w:b/>
          <w:bCs/>
        </w:rPr>
        <w:t xml:space="preserve">Secrets in code and scripts.</w:t>
      </w:r>
      <w:r>
        <w:t xml:space="preserve"> API keys and passwords in repositories, configuration files or shared documents.</w:t>
      </w:r>
    </w:p>
    <w:p>
      <w:pPr>
        <w:pStyle w:val="ListParagraph"/>
        <w:numPr>
          <w:ilvl w:val="0"/>
          <w:numId w:val="2"/>
        </w:numPr>
        <w:spacing w:after="90"/>
      </w:pPr>
      <w:r>
        <w:rPr>
          <w:b/>
          <w:bCs/>
        </w:rPr>
        <w:t xml:space="preserve">Expired certificates.</w:t>
      </w:r>
      <w:r>
        <w:t xml:space="preserve"> Outages and browser warnings caused by certificates with no owner or renewal date.</w:t>
      </w:r>
    </w:p>
    <w:p>
      <w:pPr>
        <w:pStyle w:val="ListParagraph"/>
        <w:numPr>
          <w:ilvl w:val="0"/>
          <w:numId w:val="2"/>
        </w:numPr>
        <w:spacing w:after="90"/>
      </w:pPr>
      <w:r>
        <w:rPr>
          <w:b/>
          <w:bCs/>
        </w:rPr>
        <w:t xml:space="preserve">Old numbering.</w:t>
      </w:r>
      <w:r>
        <w:t xml:space="preserve"> References to A.10 come from the 2013 edition; cryptography is now Annex A 8.24.</w:t>
      </w:r>
    </w:p>
    <w:p>
      <w:pPr>
        <w:spacing w:after="140" w:before="120"/>
        <w:sectPr>
          <w:footerReference w:type="default" r:id="rId6"/>
          <w:pgSz w:w="11906" w:h="16838" w:orient="portrait"/>
          <w:pgMar w:top="1134" w:right="1134" w:bottom="1134" w:left="1134" w:header="708" w:footer="560" w:gutter="0"/>
          <w:pgNumType/>
          <w:docGrid w:linePitch="360"/>
        </w:sectPr>
      </w:pPr>
      <w:r>
        <w:t xml:space="preserve">Annex A control 5.1 requires topic-specific policies to be approved by management, published, communicated to and acknowledged by relevant people, and reviewed at planned intervals and after significant change. Record each step.</w:t>
      </w:r>
    </w:p>
    <w:p>
      <w:pPr>
        <w:pStyle w:val="Heading1"/>
      </w:pPr>
      <w:r>
        <w:t xml:space="preserve">Appendix A: Key and certificate register</w:t>
      </w:r>
    </w:p>
    <w:p>
      <w:pPr>
        <w:keepNext/>
        <w:spacing w:after="140" w:before="0"/>
      </w:pPr>
      <w:r>
        <w:t xml:space="preserve">List every key, certificate and secret that protects company information, including those your providers manage. Review the register at least every </w:t>
      </w:r>
      <w:r>
        <w:rPr>
          <w:highlight w:val="yellow"/>
        </w:rPr>
        <w:t xml:space="preserve">[12]</w:t>
      </w:r>
      <w:r>
        <w:t xml:space="preserve"> months and check it for expiry dates every </w:t>
      </w:r>
      <w:r>
        <w:rPr>
          <w:highlight w:val="yellow"/>
        </w:rPr>
        <w:t xml:space="preserve">[month]</w:t>
      </w:r>
      <w:r>
        <w:t xml:space="preserve">.</w:t>
      </w:r>
    </w:p>
    <w:tbl>
      <w:tblPr>
        <w:tblW w:type="dxa" w:w="1457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1300"/>
        <w:gridCol w:w="1700"/>
        <w:gridCol w:w="1500"/>
        <w:gridCol w:w="1500"/>
        <w:gridCol w:w="1700"/>
        <w:gridCol w:w="1300"/>
        <w:gridCol w:w="1100"/>
        <w:gridCol w:w="1270"/>
        <w:gridCol w:w="1500"/>
      </w:tblGrid>
      <w:tr>
        <w:trPr>
          <w:cantSplit/>
          <w:tblHeader/>
        </w:trPr>
        <w:tc>
          <w:tcPr>
            <w:tcW w:type="dxa" w:w="1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Key or certificate</w:t>
            </w:r>
          </w:p>
        </w:tc>
        <w:tc>
          <w:tcPr>
            <w:tcW w:type="dxa" w:w="13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Type</w:t>
            </w:r>
          </w:p>
        </w:tc>
        <w:tc>
          <w:tcPr>
            <w:tcW w:type="dxa" w:w="1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Used for</w:t>
            </w:r>
          </w:p>
        </w:tc>
        <w:tc>
          <w:tcPr>
            <w:tcW w:type="dxa" w:w="15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System or service</w:t>
            </w:r>
          </w:p>
        </w:tc>
        <w:tc>
          <w:tcPr>
            <w:tcW w:type="dxa" w:w="15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Algorithm and length</w:t>
            </w:r>
          </w:p>
        </w:tc>
        <w:tc>
          <w:tcPr>
            <w:tcW w:type="dxa" w:w="17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Where stored</w:t>
            </w:r>
          </w:p>
        </w:tc>
        <w:tc>
          <w:tcPr>
            <w:tcW w:type="dxa" w:w="13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Custodian</w:t>
            </w:r>
          </w:p>
        </w:tc>
        <w:tc>
          <w:tcPr>
            <w:tcW w:type="dxa" w:w="11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Created</w:t>
            </w:r>
          </w:p>
        </w:tc>
        <w:tc>
          <w:tcPr>
            <w:tcW w:type="dxa" w:w="127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Expires or rotate by</w:t>
            </w:r>
          </w:p>
        </w:tc>
        <w:tc>
          <w:tcPr>
            <w:tcW w:type="dxa" w:w="1500"/>
            <w:tcBorders>
              <w:top w:val="single" w:color="102838" w:sz="4"/>
              <w:left w:val="single" w:color="102838" w:sz="4"/>
              <w:bottom w:val="single" w:color="102838" w:sz="4"/>
              <w:right w:val="single" w:color="102838" w:sz="4"/>
            </w:tcBorders>
            <w:shd w:fill="102838" w:color="auto" w:val="clear"/>
            <w:tcMar>
              <w:top w:type="dxa" w:w="70"/>
              <w:left w:type="dxa" w:w="110"/>
              <w:bottom w:type="dxa" w:w="70"/>
              <w:right w:type="dxa" w:w="110"/>
            </w:tcMar>
            <w:vAlign w:val="center"/>
          </w:tcPr>
          <w:p>
            <w:pPr>
              <w:spacing w:after="0" w:before="0"/>
            </w:pPr>
            <w:r>
              <w:rPr>
                <w:b/>
                <w:bCs/>
                <w:color w:val="FFFFFF"/>
                <w:sz w:val="20"/>
                <w:szCs w:val="20"/>
              </w:rPr>
              <w:t xml:space="preserve">Backup or recovery</w:t>
            </w:r>
          </w:p>
        </w:tc>
      </w:tr>
      <w:tr>
        <w:trPr>
          <w:cantSplit/>
          <w:trHeight w:val="440" w:hRule="atLeast"/>
        </w:trPr>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highlight w:val="yellow"/>
              </w:rPr>
              <w:t xml:space="preserve">[www.example.com]</w:t>
            </w: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[TLS certificate]</w:t>
            </w: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[Public website]</w:t>
            </w: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[Web host]</w:t>
            </w: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[ECDSA P-256]</w:t>
            </w: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[Web host, auto-renewed]</w:t>
            </w: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[IT manager]</w:t>
            </w:r>
          </w:p>
        </w:tc>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[date]</w:t>
            </w:r>
          </w:p>
        </w:tc>
        <w:tc>
          <w:tcPr>
            <w:tcW w:type="dxa" w:w="12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[date]</w:t>
            </w: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[Reissue from CA]</w:t>
            </w:r>
          </w:p>
        </w:tc>
      </w:tr>
      <w:tr>
        <w:trPr>
          <w:cantSplit/>
          <w:trHeight w:val="440" w:hRule="atLeast"/>
        </w:trPr>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bCs/>
                <w:color w:val="102838"/>
                <w:sz w:val="20"/>
                <w:szCs w:val="20"/>
                <w:highlight w:val="yellow"/>
              </w:rPr>
              <w:t xml:space="preserve">[Laptop recovery keys]</w:t>
            </w: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[BitLocker recovery key]</w:t>
            </w: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[Device encryption]</w:t>
            </w: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[All Windows laptops]</w:t>
            </w: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[XTS-AES 128 or 256-bit]</w:t>
            </w: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[Device management platform]</w:t>
            </w: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[IT manager]</w:t>
            </w:r>
          </w:p>
        </w:tc>
        <w:tc>
          <w:tcPr>
            <w:tcW w:type="dxa" w:w="1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[On enrolment]</w:t>
            </w:r>
          </w:p>
        </w:tc>
        <w:tc>
          <w:tcPr>
            <w:tcW w:type="dxa" w:w="12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[On reissue]</w:t>
            </w: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r>
              <w:rPr>
                <w:b w:val="false"/>
                <w:bCs w:val="false"/>
                <w:sz w:val="20"/>
                <w:szCs w:val="20"/>
                <w:highlight w:val="yellow"/>
              </w:rPr>
              <w:t xml:space="preserve">[Device management platform]</w:t>
            </w:r>
          </w:p>
        </w:tc>
      </w:tr>
      <w:tr>
        <w:trPr>
          <w:cantSplit/>
          <w:trHeight w:val="440" w:hRule="atLeast"/>
        </w:trPr>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bCs/>
                <w:color w:val="102838"/>
                <w:sz w:val="20"/>
                <w:szCs w:val="20"/>
                <w:highlight w:val="yellow"/>
              </w:rPr>
              <w:t xml:space="preserve">[Payments API key]</w:t>
            </w: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[API secret]</w:t>
            </w: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[Payment integration]</w:t>
            </w: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[Website]</w:t>
            </w: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[Provider-issued]</w:t>
            </w: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[Key vault]</w:t>
            </w: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[Lead developer]</w:t>
            </w:r>
          </w:p>
        </w:tc>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[date]</w:t>
            </w:r>
          </w:p>
        </w:tc>
        <w:tc>
          <w:tcPr>
            <w:tcW w:type="dxa" w:w="12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[date]</w:t>
            </w: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r>
              <w:rPr>
                <w:b w:val="false"/>
                <w:bCs w:val="false"/>
                <w:sz w:val="20"/>
                <w:szCs w:val="20"/>
                <w:highlight w:val="yellow"/>
              </w:rPr>
              <w:t xml:space="preserve">[Reissue from provider]</w:t>
            </w:r>
          </w:p>
        </w:tc>
      </w:tr>
      <w:tr>
        <w:trPr>
          <w:cantSplit/>
          <w:trHeight w:val="440" w:hRule="atLeast"/>
        </w:trPr>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2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40" w:hRule="atLeast"/>
        </w:trPr>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2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40" w:hRule="atLeast"/>
        </w:trPr>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2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40" w:hRule="atLeast"/>
        </w:trPr>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2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40" w:hRule="atLeast"/>
        </w:trPr>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2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r>
        <w:trPr>
          <w:cantSplit/>
          <w:trHeight w:val="440" w:hRule="atLeast"/>
        </w:trPr>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1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27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tcMar>
              <w:top w:type="dxa" w:w="70"/>
              <w:left w:type="dxa" w:w="110"/>
              <w:bottom w:type="dxa" w:w="70"/>
              <w:right w:type="dxa" w:w="110"/>
            </w:tcMar>
          </w:tcPr>
          <w:p>
            <w:pPr>
              <w:spacing w:after="0" w:before="0"/>
            </w:pPr>
          </w:p>
        </w:tc>
      </w:tr>
      <w:tr>
        <w:trPr>
          <w:cantSplit/>
          <w:trHeight w:val="440" w:hRule="atLeast"/>
        </w:trPr>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7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3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1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27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c>
          <w:tcPr>
            <w:tcW w:type="dxa" w:w="1500"/>
            <w:tcBorders>
              <w:top w:val="single" w:color="D6D3CA" w:sz="4"/>
              <w:left w:val="single" w:color="D6D3CA" w:sz="4"/>
              <w:bottom w:val="single" w:color="D6D3CA" w:sz="4"/>
              <w:right w:val="single" w:color="D6D3CA" w:sz="4"/>
            </w:tcBorders>
            <w:shd w:fill="F4F3EF" w:color="auto" w:val="clear"/>
            <w:tcMar>
              <w:top w:type="dxa" w:w="70"/>
              <w:left w:type="dxa" w:w="110"/>
              <w:bottom w:type="dxa" w:w="70"/>
              <w:right w:type="dxa" w:w="110"/>
            </w:tcMar>
          </w:tcPr>
          <w:p>
            <w:pPr>
              <w:spacing w:after="0" w:before="0"/>
            </w:pPr>
          </w:p>
        </w:tc>
      </w:tr>
    </w:tbl>
    <w:sectPr>
      <w:footerReference w:type="default" r:id="rId7"/>
      <w:type w:val="nextPage"/>
      <w:pgSz w:w="16838" w:h="11906" w:orient="landscape"/>
      <w:pgMar w:top="1134" w:right="1134" w:bottom="1134" w:left="1134" w:header="708" w:footer="5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2840" w:sz="6" w:space="6"/>
      </w:pBdr>
      <w:spacing w:after="0" w:before="0"/>
    </w:pPr>
    <w:r>
      <w:rPr>
        <w:color w:val="5B6770"/>
        <w:sz w:val="16"/>
        <w:szCs w:val="16"/>
      </w:rPr>
      <w:t xml:space="preserve">Cryptography policy template  |  Sovereign Secure Ltd  |  sovereignsecure.co.uk</w:t>
    </w:r>
    <w:r>
      <w:ptab w:alignment="right" w:relativeTo="margin" w:leader="none"/>
    </w:r>
    <w:r>
      <w:rPr>
        <w:color w:val="5B6770"/>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2840" w:sz="6" w:space="6"/>
      </w:pBdr>
      <w:spacing w:after="0" w:before="0"/>
    </w:pPr>
    <w:r>
      <w:rPr>
        <w:color w:val="5B6770"/>
        <w:sz w:val="16"/>
        <w:szCs w:val="16"/>
      </w:rPr>
      <w:t xml:space="preserve">Cryptography policy template  |  Sovereign Secure Ltd  |  sovereignsecure.co.uk</w:t>
    </w:r>
    <w:r>
      <w:ptab w:alignment="right" w:relativeTo="margin" w:leader="none"/>
    </w:r>
    <w:r>
      <w:rPr>
        <w:color w:val="5B6770"/>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rPr>
        <w:color w:val="E02840"/>
      </w:rPr>
    </w:lvl>
  </w:abstractNum>
  <w:abstractNum w:abstractNumId="3" w15:restartNumberingAfterBreak="0">
    <w:multiLevelType w:val="hybridMultilevel"/>
    <w:lvl w:ilvl="0" w:tentative="1">
      <w:start w:val="1"/>
      <w:numFmt w:val="decimal"/>
      <w:lvlText w:val="%1."/>
      <w:lvlJc w:val="left"/>
      <w:pPr>
        <w:ind w:left="400" w:hanging="320"/>
      </w:pPr>
      <w:rPr>
        <w:b/>
        <w:bCs/>
        <w:color w:val="10283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A33"/>
        <w:sz w:val="21"/>
        <w:szCs w:val="21"/>
        <w:lang w:val="en-GB"/>
      </w:rPr>
    </w:rPrDefault>
    <w:pPrDefault>
      <w:pPr>
        <w:spacing w:after="140" w:line="264"/>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keepLines/>
      <w:spacing w:after="160" w:before="360"/>
      <w:outlineLvl w:val="0"/>
    </w:pPr>
    <w:rPr>
      <w:rFonts w:ascii="Calibri" w:cs="Calibri" w:eastAsia="Calibri" w:hAnsi="Calibri"/>
      <w:b/>
      <w:bCs/>
      <w:color w:val="102838"/>
      <w:sz w:val="32"/>
      <w:szCs w:val="32"/>
    </w:rPr>
  </w:style>
  <w:style w:type="paragraph" w:styleId="Heading2">
    <w:name w:val="Heading 2"/>
    <w:basedOn w:val="Normal"/>
    <w:next w:val="Normal"/>
    <w:qFormat/>
    <w:pPr>
      <w:keepNext/>
      <w:keepLines/>
      <w:spacing w:after="100" w:before="260"/>
      <w:outlineLvl w:val="1"/>
    </w:pPr>
    <w:rPr>
      <w:rFonts w:ascii="Calibri" w:cs="Calibri" w:eastAsia="Calibri" w:hAnsi="Calibri"/>
      <w:b/>
      <w:bCs/>
      <w:color w:val="102838"/>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uhham8zf_kuob2dfa46t_" Type="http://schemas.openxmlformats.org/officeDocument/2006/relationships/hyperlink" Target="https://sovereignsecure.co.uk/" TargetMode="External"/><Relationship Id="rIdcicmjiqhi3wa5xw_emh4h" Type="http://schemas.openxmlformats.org/officeDocument/2006/relationships/hyperlink" Target="https://sovereignsecure.co.uk/iso-27001-policy-templates/" TargetMode="External"/><Relationship Id="rIdsrszxgsxg6ajxzgfmiqih" Type="http://schemas.openxmlformats.org/officeDocument/2006/relationships/hyperlink" Target="https://www.iso.org/standard/27001" TargetMode="External"/><Relationship Id="rIdmc0bkcsymcwc5mkd3rpv7" Type="http://schemas.openxmlformats.org/officeDocument/2006/relationships/hyperlink" Target="https://sovereignsecure.co.uk/iso-27001-policy-templates/" TargetMode="External"/><Relationship Id="rId_jqpvjlfhw3uivhz3-00s" Type="http://schemas.openxmlformats.org/officeDocument/2006/relationships/hyperlink" Target="https://www.ncsc.gov.uk/guidance/pqc-migration-timelines" TargetMode="External"/><Relationship Id="rId9dohpw-pib6vqocpbhu9m" Type="http://schemas.openxmlformats.org/officeDocument/2006/relationships/hyperlink" Target="https://ico.org.uk/for-organisations/uk-gdpr-guidance-and-resources/security/a-guide-to-data-security/" TargetMode="External"/><Relationship Id="rId15" Type="http://schemas.openxmlformats.org/officeDocument/2006/relationships/image" Target="media/728fc2a3bf8c8af21db16c83d499e1c1a95b6c0f.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Cryptography Policy Template</dc:title>
  <dc:subject>ISO/IEC 27001:2022 cryptography and key management policy template (Annex A 8.24)</dc:subject>
  <dc:creator>Sovereign Secure Ltd</dc:creator>
  <cp:keywords>ISO 27001, cryptography policy, encryption policy, key management, Annex A 8.24, TLS, template</cp:keywords>
  <dc:description>Free cryptography policy template from sovereignsecure.co.uk, version October 2026.</dc:description>
  <cp:lastModifiedBy>Sovereign Secure Ltd</cp:lastModifiedBy>
  <cp:revision>1</cp:revision>
  <dcterms:created xsi:type="dcterms:W3CDTF">2026-10-13T12:54:14.062Z</dcterms:created>
  <dcterms:modified xsi:type="dcterms:W3CDTF">2026-10-13T12:54:14.062Z</dcterms:modified>
</cp:coreProperties>
</file>

<file path=docProps/custom.xml><?xml version="1.0" encoding="utf-8"?>
<Properties xmlns="http://schemas.openxmlformats.org/officeDocument/2006/custom-properties" xmlns:vt="http://schemas.openxmlformats.org/officeDocument/2006/docPropsVTypes"/>
</file>