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80" w:before="0"/>
      </w:pPr>
      <w:r>
        <w:drawing>
          <wp:inline distT="0" distB="0" distL="0" distR="0">
            <wp:extent cx="2095500" cy="552450"/>
            <wp:effectExtent t="0" r="0" b="0" l="0"/>
            <wp:docPr id="1" name="Sovereign Secure logo" descr="Sovereign Secure logo" title="Sovereign Sec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095500" cy="552450"/>
                    </a:xfrm>
                    <a:prstGeom prst="rect">
                      <a:avLst/>
                    </a:prstGeom>
                  </pic:spPr>
                </pic:pic>
              </a:graphicData>
            </a:graphic>
          </wp:inline>
        </w:drawing>
      </w:r>
    </w:p>
    <w:p>
      <w:pPr>
        <w:spacing w:after="80"/>
      </w:pPr>
      <w:r>
        <w:rPr>
          <w:b/>
          <w:bCs/>
          <w:color w:val="E02840"/>
          <w:spacing w:val="20"/>
          <w:sz w:val="20"/>
          <w:szCs w:val="20"/>
        </w:rPr>
        <w:t xml:space="preserve">FREE TEMPLATE</w:t>
      </w:r>
    </w:p>
    <w:p>
      <w:pPr>
        <w:spacing w:after="120"/>
      </w:pPr>
      <w:r>
        <w:rPr>
          <w:b/>
          <w:bCs/>
          <w:color w:val="102838"/>
          <w:sz w:val="52"/>
          <w:szCs w:val="52"/>
        </w:rPr>
        <w:t xml:space="preserve">Business Continuity Plan Template</w:t>
      </w:r>
    </w:p>
    <w:p>
      <w:pPr>
        <w:spacing w:after="120"/>
      </w:pPr>
      <w:r>
        <w:rPr>
          <w:color w:val="5B6770"/>
          <w:sz w:val="24"/>
          <w:szCs w:val="24"/>
        </w:rPr>
        <w:t xml:space="preserve">Ten plan sections, a business impact analysis worksheet, cyber scenarios and an exercise log, aligned to ISO 22301:2019 and ISO/IEC 27001:2022 Annex A</w:t>
      </w:r>
    </w:p>
    <w:p>
      <w:pPr>
        <w:pBdr>
          <w:bottom w:val="single" w:color="E02840" w:sz="18" w:space="1"/>
        </w:pBdr>
        <w:spacing w:after="240" w:before="0"/>
      </w:pPr>
    </w:p>
    <w:p>
      <w:pPr>
        <w:spacing w:after="60"/>
      </w:pPr>
      <w:r>
        <w:rPr>
          <w:b/>
          <w:bCs/>
          <w:color w:val="E02840"/>
        </w:rPr>
        <w:t xml:space="preserve">Version  </w:t>
      </w:r>
      <w:r>
        <w:t xml:space="preserve">October 2026</w:t>
      </w:r>
    </w:p>
    <w:p>
      <w:pPr>
        <w:spacing w:after="60"/>
      </w:pPr>
      <w:r>
        <w:rPr>
          <w:b/>
          <w:bCs/>
          <w:color w:val="E02840"/>
        </w:rPr>
        <w:t xml:space="preserve">Published by  </w:t>
      </w:r>
      <w:r>
        <w:t xml:space="preserve">Sovereign Secure Ltd, </w:t>
      </w:r>
      <w:hyperlink w:history="1" r:id="rId7beojbh3o0hxpft5gdfsj">
        <w:r>
          <w:rPr>
            <w:rStyle w:val="Hyperlink"/>
          </w:rPr>
          <w:t xml:space="preserve">sovereignsecure.co.uk</w:t>
        </w:r>
      </w:hyperlink>
    </w:p>
    <w:p>
      <w:pPr>
        <w:spacing w:after="360"/>
      </w:pPr>
      <w:r>
        <w:rPr>
          <w:b/>
          <w:bCs/>
          <w:color w:val="E02840"/>
        </w:rPr>
        <w:t xml:space="preserve">Help  </w:t>
      </w:r>
      <w:r>
        <w:t xml:space="preserve">+44 161 523 5276  |  contactus@sovereignsecure.co.uk</w:t>
      </w:r>
    </w:p>
    <w:p>
      <w:pPr>
        <w:pStyle w:val="Heading1"/>
      </w:pPr>
      <w:r>
        <w:t xml:space="preserve">About this template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What it is</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rPr>
              <w:t xml:space="preserve">A free, editable business continuity plan (BCP) template for UK organisations. It sets out how you keep your most important activities running, or restore them, after a disruption such as a cyber attack, a supplier failure, a power cut or the loss of a building. It accompanies our free business continuity plan template page at </w:t>
            </w:r>
            <w:hyperlink w:history="1" r:id="rIdea7hrqpsv1-qtwdx-1yom">
              <w:r>
                <w:rPr>
                  <w:rStyle w:val="Hyperlink"/>
                  <w:sz w:val="20"/>
                  <w:szCs w:val="20"/>
                </w:rPr>
                <w:t xml:space="preserve">sovereignsecure.co.uk/business-continuity-plan-template/</w:t>
              </w:r>
            </w:hyperlink>
            <w:r>
              <w:rPr>
                <w:sz w:val="20"/>
                <w:szCs w:val="20"/>
              </w:rPr>
              <w:t xml:space="preserve">.</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What is inside</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60" w:before="0"/>
            </w:pPr>
            <w:r>
              <w:rPr>
                <w:sz w:val="20"/>
                <w:szCs w:val="20"/>
              </w:rPr>
              <w:t xml:space="preserve">The business continuity plan: ten sections with document control</w:t>
            </w:r>
          </w:p>
          <w:p>
            <w:pPr>
              <w:spacing w:after="60" w:before="0"/>
            </w:pPr>
            <w:r>
              <w:rPr>
                <w:sz w:val="20"/>
                <w:szCs w:val="20"/>
              </w:rPr>
              <w:t xml:space="preserve">Cyber scenarios to test the plan against</w:t>
            </w:r>
          </w:p>
          <w:p>
            <w:pPr>
              <w:spacing w:after="60" w:before="0"/>
            </w:pPr>
            <w:r>
              <w:rPr>
                <w:sz w:val="20"/>
                <w:szCs w:val="20"/>
              </w:rPr>
              <w:t xml:space="preserve">Testing and exercising methods</w:t>
            </w:r>
          </w:p>
          <w:p>
            <w:pPr>
              <w:spacing w:after="60" w:before="0"/>
            </w:pPr>
            <w:r>
              <w:rPr>
                <w:sz w:val="20"/>
                <w:szCs w:val="20"/>
              </w:rPr>
              <w:t xml:space="preserve">How the template maps to ISO 22301:2019 and ISO/IEC 27001:2022</w:t>
            </w:r>
          </w:p>
          <w:p>
            <w:pPr>
              <w:spacing w:after="60" w:before="0"/>
            </w:pPr>
            <w:r>
              <w:rPr>
                <w:sz w:val="20"/>
                <w:szCs w:val="20"/>
              </w:rPr>
              <w:t xml:space="preserve">Appendix A: business impact analysis worksheet</w:t>
            </w:r>
          </w:p>
          <w:p>
            <w:pPr>
              <w:spacing w:after="60" w:before="0"/>
            </w:pPr>
            <w:r>
              <w:rPr>
                <w:sz w:val="20"/>
                <w:szCs w:val="20"/>
              </w:rPr>
              <w:t xml:space="preserve">Appendix B: decision log</w:t>
            </w:r>
          </w:p>
          <w:p>
            <w:pPr>
              <w:spacing w:after="60" w:before="0"/>
            </w:pPr>
            <w:r>
              <w:rPr>
                <w:sz w:val="20"/>
                <w:szCs w:val="20"/>
              </w:rPr>
              <w:t xml:space="preserve">Appendix C: exercise log</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Version</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rPr>
              <w:t xml:space="preserve">October 2026. Clause and control numbers refer to ISO 22301:2019 and ISO/IEC 27001:2022.</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The standards</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rPr>
              <w:t xml:space="preserve">This template does not reproduce ISO 22301 or ISO/IEC 27001; clause and control numbers are given for reference only. The official text is available from ISO (</w:t>
            </w:r>
            <w:hyperlink w:history="1" r:id="rIdr3uqd1x88u6zlmqq2g5ft">
              <w:r>
                <w:rPr>
                  <w:rStyle w:val="Hyperlink"/>
                  <w:sz w:val="20"/>
                  <w:szCs w:val="20"/>
                </w:rPr>
                <w:t xml:space="preserve">iso.org/standard/75106.html</w:t>
              </w:r>
            </w:hyperlink>
            <w:r>
              <w:rPr>
                <w:sz w:val="20"/>
                <w:szCs w:val="20"/>
              </w:rPr>
              <w:t xml:space="preserve">) or a national standards body such as BSI.</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Licence</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rPr>
              <w:t xml:space="preserve">Free to use and adapt within your organisation.</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Not a certificate</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rPr>
              <w:t xml:space="preserve">A plan is one part of ISO 22301. Certification also needs a scoped management system with a policy, risk assessment, continuity strategies, an exercise programme, internal audit and management review, assessed by an independent certification body.</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Getting help</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rPr>
              <w:t xml:space="preserve">For help turning the template into a working plan, or towards ISO 22301 or ISO 27001, use the enquiry form on </w:t>
            </w:r>
            <w:hyperlink w:history="1" w:anchor="enquire" r:id="rIdgldmyxvzxdlz1kcovlhhg">
              <w:r>
                <w:rPr>
                  <w:rStyle w:val="Hyperlink"/>
                  <w:sz w:val="20"/>
                  <w:szCs w:val="20"/>
                </w:rPr>
                <w:t xml:space="preserve">our business continuity plan template page</w:t>
              </w:r>
            </w:hyperlink>
            <w:r>
              <w:rPr>
                <w:sz w:val="20"/>
                <w:szCs w:val="20"/>
              </w:rPr>
              <w:t xml:space="preserve"> or call +44 161 523 5276. Sovereign Secure Ltd is ISO 27001 certified and provides ISO consultancy; certification audits are carried out by our partner certification body, MQA International.</w:t>
            </w:r>
          </w:p>
        </w:tc>
      </w:tr>
    </w:tbl>
    <w:p>
      <w:pPr>
        <w:pStyle w:val="Heading1"/>
        <w:pageBreakBefore/>
      </w:pPr>
      <w:r>
        <w:t xml:space="preserve">How to use this template</w:t>
      </w:r>
    </w:p>
    <w:p>
      <w:pPr>
        <w:pStyle w:val="Heading2"/>
      </w:pPr>
      <w:r>
        <w:t xml:space="preserve">Steps</w:t>
      </w:r>
    </w:p>
    <w:p>
      <w:pPr>
        <w:pStyle w:val="ListParagraph"/>
        <w:numPr>
          <w:ilvl w:val="0"/>
          <w:numId w:val="2"/>
        </w:numPr>
        <w:spacing w:after="90"/>
      </w:pPr>
      <w:r>
        <w:rPr>
          <w:b/>
          <w:bCs/>
        </w:rPr>
        <w:t xml:space="preserve">Start with the business impact analysis</w:t>
      </w:r>
      <w:r>
        <w:t xml:space="preserve"> in Appendix A. It decides what the plan protects and how fast each activity must come back.</w:t>
      </w:r>
    </w:p>
    <w:p>
      <w:pPr>
        <w:pStyle w:val="ListParagraph"/>
        <w:numPr>
          <w:ilvl w:val="0"/>
          <w:numId w:val="2"/>
        </w:numPr>
        <w:spacing w:after="90"/>
      </w:pPr>
      <w:r>
        <w:rPr>
          <w:b/>
          <w:bCs/>
        </w:rPr>
        <w:t xml:space="preserve">Replace everything in </w:t>
      </w:r>
      <w:r>
        <w:rPr>
          <w:b/>
          <w:bCs/>
          <w:highlight w:val="yellow"/>
        </w:rPr>
        <w:t xml:space="preserve">[square brackets]</w:t>
      </w:r>
      <w:r>
        <w:t xml:space="preserve"> with your own names, numbers, systems and timings, and delete anything that does not apply.</w:t>
      </w:r>
    </w:p>
    <w:p>
      <w:pPr>
        <w:pStyle w:val="ListParagraph"/>
        <w:numPr>
          <w:ilvl w:val="0"/>
          <w:numId w:val="2"/>
        </w:numPr>
        <w:spacing w:after="90"/>
      </w:pPr>
      <w:r>
        <w:rPr>
          <w:b/>
          <w:bCs/>
        </w:rPr>
        <w:t xml:space="preserve">Keep the core plan short</w:t>
      </w:r>
      <w:r>
        <w:t xml:space="preserve"> enough to use under pressure. Detailed IT recovery runbooks, supplier contracts and floor plans belong in appendices.</w:t>
      </w:r>
    </w:p>
    <w:p>
      <w:pPr>
        <w:pStyle w:val="ListParagraph"/>
        <w:numPr>
          <w:ilvl w:val="0"/>
          <w:numId w:val="2"/>
        </w:numPr>
        <w:spacing w:after="90"/>
      </w:pPr>
      <w:r>
        <w:rPr>
          <w:b/>
          <w:bCs/>
        </w:rPr>
        <w:t xml:space="preserve">Get the plan approved</w:t>
      </w:r>
      <w:r>
        <w:t xml:space="preserve"> by a director and give everyone with a role a copy they can reach without your normal systems, printed or on a personal phone.</w:t>
      </w:r>
    </w:p>
    <w:p>
      <w:pPr>
        <w:pStyle w:val="ListParagraph"/>
        <w:numPr>
          <w:ilvl w:val="0"/>
          <w:numId w:val="2"/>
        </w:numPr>
        <w:spacing w:after="90"/>
      </w:pPr>
      <w:r>
        <w:rPr>
          <w:b/>
          <w:bCs/>
        </w:rPr>
        <w:t xml:space="preserve">Test it</w:t>
      </w:r>
      <w:r>
        <w:t xml:space="preserve"> at least once a year and after significant changes, and record each exercise in Appendix C.</w:t>
      </w:r>
    </w:p>
    <w:p>
      <w:pPr>
        <w:pStyle w:val="ListParagraph"/>
        <w:numPr>
          <w:ilvl w:val="0"/>
          <w:numId w:val="2"/>
        </w:numPr>
        <w:spacing w:after="90"/>
      </w:pPr>
      <w:r>
        <w:rPr>
          <w:b/>
          <w:bCs/>
        </w:rPr>
        <w:t xml:space="preserve">Review it</w:t>
      </w:r>
      <w:r>
        <w:t xml:space="preserve"> after every exercise, real invocation and significant change.</w:t>
      </w:r>
    </w:p>
    <w:p>
      <w:pPr>
        <w:pStyle w:val="Heading2"/>
      </w:pPr>
      <w:r>
        <w:t xml:space="preserve">Running a small business?</w:t>
      </w:r>
    </w:p>
    <w:p>
      <w:pPr>
        <w:keepNext/>
        <w:spacing w:after="140" w:before="0"/>
      </w:pPr>
      <w:r>
        <w:t xml:space="preserve">Keep it short. A business with one site and a handful of staff can usually cover everything on a few pages:</w:t>
      </w:r>
    </w:p>
    <w:p>
      <w:pPr>
        <w:pStyle w:val="ListParagraph"/>
        <w:numPr>
          <w:ilvl w:val="0"/>
          <w:numId w:val="3"/>
        </w:numPr>
        <w:spacing w:after="90"/>
      </w:pPr>
      <w:r>
        <w:rPr>
          <w:b/>
          <w:bCs/>
        </w:rPr>
        <w:t xml:space="preserve">Combine roles.</w:t>
      </w:r>
      <w:r>
        <w:t xml:space="preserve"> One person can be continuity lead and communications lead, as long as each role has a named deputy.</w:t>
      </w:r>
    </w:p>
    <w:p>
      <w:pPr>
        <w:pStyle w:val="ListParagraph"/>
        <w:numPr>
          <w:ilvl w:val="0"/>
          <w:numId w:val="3"/>
        </w:numPr>
        <w:spacing w:after="90"/>
      </w:pPr>
      <w:r>
        <w:rPr>
          <w:b/>
          <w:bCs/>
        </w:rPr>
        <w:t xml:space="preserve">List three to five critical activities,</w:t>
      </w:r>
      <w:r>
        <w:t xml:space="preserve"> such as taking orders, paying staff and serving existing customers, and complete the worksheet for those only.</w:t>
      </w:r>
    </w:p>
    <w:p>
      <w:pPr>
        <w:pStyle w:val="ListParagraph"/>
        <w:numPr>
          <w:ilvl w:val="0"/>
          <w:numId w:val="3"/>
        </w:numPr>
        <w:spacing w:after="90"/>
      </w:pPr>
      <w:r>
        <w:rPr>
          <w:b/>
          <w:bCs/>
        </w:rPr>
        <w:t xml:space="preserve">Write down the workarounds you would really use:</w:t>
      </w:r>
      <w:r>
        <w:t xml:space="preserve"> working from home, taking orders by phone, a spare laptop, a second internet connection.</w:t>
      </w:r>
    </w:p>
    <w:p>
      <w:pPr>
        <w:pStyle w:val="ListParagraph"/>
        <w:numPr>
          <w:ilvl w:val="0"/>
          <w:numId w:val="3"/>
        </w:numPr>
        <w:spacing w:after="90"/>
      </w:pPr>
      <w:r>
        <w:rPr>
          <w:b/>
          <w:bCs/>
        </w:rPr>
        <w:t xml:space="preserve">Keep supplier details in the plan,</w:t>
      </w:r>
      <w:r>
        <w:t xml:space="preserve"> especially your IT support company, the cloud services you rely on and your insurer.</w:t>
      </w:r>
    </w:p>
    <w:p>
      <w:pPr>
        <w:pStyle w:val="ListParagraph"/>
        <w:numPr>
          <w:ilvl w:val="0"/>
          <w:numId w:val="3"/>
        </w:numPr>
        <w:spacing w:after="90"/>
      </w:pPr>
      <w:r>
        <w:rPr>
          <w:b/>
          <w:bCs/>
        </w:rPr>
        <w:t xml:space="preserve">Keep a copy off your systems,</w:t>
      </w:r>
      <w:r>
        <w:t xml:space="preserve"> in case email and file storage are unavailable.</w:t>
      </w:r>
    </w:p>
    <w:p>
      <w:pPr>
        <w:pStyle w:val="Heading1"/>
        <w:pageBreakBefore/>
      </w:pPr>
      <w:r>
        <w:t xml:space="preserve">The business continuity plan</w:t>
      </w:r>
    </w:p>
    <w:p>
      <w:pPr>
        <w:pBdr>
          <w:top w:val="single" w:color="F4F3EF" w:sz="4" w:space="4"/>
          <w:left w:val="single" w:color="E02840" w:sz="24" w:space="8"/>
          <w:bottom w:val="single" w:color="F4F3EF" w:sz="4" w:space="4"/>
        </w:pBdr>
        <w:shd w:fill="F4F3EF" w:color="auto" w:val="clear"/>
        <w:spacing w:after="220" w:before="120"/>
        <w:ind w:left="200" w:right="120"/>
      </w:pPr>
      <w:r>
        <w:rPr>
          <w:b/>
          <w:bCs/>
          <w:color w:val="E02840"/>
        </w:rPr>
        <w:t xml:space="preserve">Guidance: </w:t>
      </w:r>
      <w:r>
        <w:t xml:space="preserve">Copy this part into your own document, replace everything in </w:t>
      </w:r>
      <w:r>
        <w:rPr>
          <w:highlight w:val="yellow"/>
        </w:rPr>
        <w:t xml:space="preserve">[square brackets]</w:t>
      </w:r>
      <w:r>
        <w:t xml:space="preserve"> and attach the completed business impact analysis worksheet (Appendix A).</w:t>
      </w:r>
    </w:p>
    <w:p>
      <w:pPr>
        <w:keepNext/>
        <w:spacing w:after="200" w:before="120"/>
      </w:pPr>
      <w:r>
        <w:rPr>
          <w:b/>
          <w:bCs/>
          <w:color w:val="102838"/>
          <w:sz w:val="32"/>
          <w:szCs w:val="32"/>
          <w:highlight w:val="yellow"/>
        </w:rPr>
        <w:t xml:space="preserve">[Organisation name]</w:t>
      </w:r>
      <w:r>
        <w:rPr>
          <w:b/>
          <w:bCs/>
          <w:color w:val="102838"/>
          <w:sz w:val="32"/>
          <w:szCs w:val="32"/>
        </w:rPr>
        <w:t xml:space="preserve"> Business Continuity Plan</w:t>
      </w:r>
    </w:p>
    <w:p>
      <w:pPr>
        <w:pStyle w:val="Heading2"/>
      </w:pPr>
      <w:r>
        <w:t xml:space="preserve">Document control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1900"/>
        <w:gridCol w:w="1600"/>
        <w:gridCol w:w="1600"/>
        <w:gridCol w:w="1738"/>
      </w:tblGrid>
      <w:tr>
        <w:trPr>
          <w:cantSplit/>
          <w:tblHeader/>
        </w:trPr>
        <w:tc>
          <w:tcPr>
            <w:tcW w:type="dxa" w:w="11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Version</w:t>
            </w:r>
          </w:p>
        </w:tc>
        <w:tc>
          <w:tcPr>
            <w:tcW w:type="dxa" w:w="17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Plan owner</w:t>
            </w:r>
          </w:p>
        </w:tc>
        <w:tc>
          <w:tcPr>
            <w:tcW w:type="dxa" w:w="19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Approved by</w:t>
            </w:r>
          </w:p>
        </w:tc>
        <w:tc>
          <w:tcPr>
            <w:tcW w:type="dxa" w:w="16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Approval date</w:t>
            </w:r>
          </w:p>
        </w:tc>
        <w:tc>
          <w:tcPr>
            <w:tcW w:type="dxa" w:w="16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Last tested</w:t>
            </w:r>
          </w:p>
        </w:tc>
        <w:tc>
          <w:tcPr>
            <w:tcW w:type="dxa" w:w="1738"/>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Next review</w:t>
            </w:r>
          </w:p>
        </w:tc>
      </w:tr>
      <w:tr>
        <w:trPr>
          <w:cantSplit/>
        </w:trPr>
        <w:tc>
          <w:tcPr>
            <w:tcW w:type="dxa" w:w="11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[x]</w:t>
            </w:r>
          </w:p>
        </w:tc>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[role]</w:t>
            </w:r>
          </w:p>
        </w:tc>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[director]</w:t>
            </w: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[date]</w:t>
            </w: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[date]</w:t>
            </w:r>
          </w:p>
        </w:tc>
        <w:tc>
          <w:tcPr>
            <w:tcW w:type="dxa" w:w="17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[date]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600"/>
        <w:gridCol w:w="2200"/>
        <w:gridCol w:w="4738"/>
      </w:tblGrid>
      <w:tr>
        <w:trPr>
          <w:cantSplit/>
          <w:tblHeader/>
        </w:trPr>
        <w:tc>
          <w:tcPr>
            <w:tcW w:type="dxa" w:w="11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Version</w:t>
            </w:r>
          </w:p>
        </w:tc>
        <w:tc>
          <w:tcPr>
            <w:tcW w:type="dxa" w:w="16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Date</w:t>
            </w:r>
          </w:p>
        </w:tc>
        <w:tc>
          <w:tcPr>
            <w:tcW w:type="dxa" w:w="22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Author</w:t>
            </w:r>
          </w:p>
        </w:tc>
        <w:tc>
          <w:tcPr>
            <w:tcW w:type="dxa" w:w="4738"/>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Summary of changes</w:t>
            </w:r>
          </w:p>
        </w:tc>
      </w:tr>
      <w:tr>
        <w:trPr>
          <w:cantSplit/>
        </w:trPr>
        <w:tc>
          <w:tcPr>
            <w:tcW w:type="dxa" w:w="11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[1.0]</w:t>
            </w: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[date]</w:t>
            </w:r>
          </w:p>
        </w:tc>
        <w:tc>
          <w:tcPr>
            <w:tcW w:type="dxa" w:w="2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[name]</w:t>
            </w:r>
          </w:p>
        </w:tc>
        <w:tc>
          <w:tcPr>
            <w:tcW w:type="dxa" w:w="47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[First issue]</w:t>
            </w:r>
          </w:p>
        </w:tc>
      </w:tr>
      <w:tr>
        <w:trPr>
          <w:cantSplit/>
        </w:trPr>
        <w:tc>
          <w:tcPr>
            <w:tcW w:type="dxa" w:w="11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2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47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Pr>
        <w:tc>
          <w:tcPr>
            <w:tcW w:type="dxa" w:w="11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47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bl>
    <w:p>
      <w:pPr>
        <w:pStyle w:val="Heading2"/>
      </w:pPr>
      <w:r>
        <w:t xml:space="preserve">1. Purpose, scope and activation</w:t>
      </w:r>
    </w:p>
    <w:p>
      <w:pPr>
        <w:spacing w:after="140" w:before="0"/>
      </w:pPr>
      <w:r>
        <w:t xml:space="preserve">This plan sets out how </w:t>
      </w:r>
      <w:r>
        <w:rPr>
          <w:highlight w:val="yellow"/>
        </w:rPr>
        <w:t xml:space="preserve">[Organisation]</w:t>
      </w:r>
      <w:r>
        <w:t xml:space="preserve"> continues or restores its critical activities after a disruption affecting </w:t>
      </w:r>
      <w:r>
        <w:rPr>
          <w:highlight w:val="yellow"/>
        </w:rPr>
        <w:t xml:space="preserve">[sites, services, systems and teams in scope]</w:t>
      </w:r>
      <w:r>
        <w:t xml:space="preserve">. It applies to </w:t>
      </w:r>
      <w:r>
        <w:rPr>
          <w:highlight w:val="yellow"/>
        </w:rPr>
        <w:t xml:space="preserve">[staff, contractors and named suppliers]</w:t>
      </w:r>
      <w:r>
        <w:t xml:space="preserve">.</w:t>
      </w:r>
    </w:p>
    <w:p>
      <w:pPr>
        <w:spacing w:after="140" w:before="0"/>
      </w:pPr>
      <w:r>
        <w:t xml:space="preserve">Plan owner: </w:t>
      </w:r>
      <w:r>
        <w:rPr>
          <w:highlight w:val="yellow"/>
        </w:rPr>
        <w:t xml:space="preserve">[role]</w:t>
      </w:r>
      <w:r>
        <w:t xml:space="preserve">. Approved by: </w:t>
      </w:r>
      <w:r>
        <w:rPr>
          <w:highlight w:val="yellow"/>
        </w:rPr>
        <w:t xml:space="preserve">[director]</w:t>
      </w:r>
      <w:r>
        <w:t xml:space="preserve">. Last tested: </w:t>
      </w:r>
      <w:r>
        <w:rPr>
          <w:highlight w:val="yellow"/>
        </w:rPr>
        <w:t xml:space="preserve">[date]</w:t>
      </w:r>
      <w:r>
        <w:t xml:space="preserve">. Next review: </w:t>
      </w:r>
      <w:r>
        <w:rPr>
          <w:highlight w:val="yellow"/>
        </w:rPr>
        <w:t xml:space="preserve">[date, no more than 12 months away]</w:t>
      </w:r>
      <w:r>
        <w:t xml:space="preserve">.</w:t>
      </w:r>
    </w:p>
    <w:p>
      <w:pPr>
        <w:pStyle w:val="Heading2"/>
      </w:pPr>
      <w:r>
        <w:t xml:space="preserve">2. Roles and contacts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3138"/>
        <w:gridCol w:w="1500"/>
        <w:gridCol w:w="1500"/>
        <w:gridCol w:w="1800"/>
      </w:tblGrid>
      <w:tr>
        <w:trPr>
          <w:cantSplit/>
          <w:tblHeader/>
        </w:trPr>
        <w:tc>
          <w:tcPr>
            <w:tcW w:type="dxa" w:w="17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Role</w:t>
            </w:r>
          </w:p>
        </w:tc>
        <w:tc>
          <w:tcPr>
            <w:tcW w:type="dxa" w:w="3138"/>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Responsibilities</w:t>
            </w:r>
          </w:p>
        </w:tc>
        <w:tc>
          <w:tcPr>
            <w:tcW w:type="dxa" w:w="15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Primary</w:t>
            </w:r>
          </w:p>
        </w:tc>
        <w:tc>
          <w:tcPr>
            <w:tcW w:type="dxa" w:w="15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Deputy</w:t>
            </w:r>
          </w:p>
        </w:tc>
        <w:tc>
          <w:tcPr>
            <w:tcW w:type="dxa" w:w="18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Out-of-hours contact</w:t>
            </w:r>
          </w:p>
        </w:tc>
      </w:tr>
      <w:tr>
        <w:trPr>
          <w:cantSplit/>
        </w:trPr>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Continuity lead</w:t>
            </w:r>
          </w:p>
        </w:tc>
        <w:tc>
          <w:tcPr>
            <w:tcW w:type="dxa" w:w="31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Invokes the plan, chairs the response team, keeps the decision log (Appendix B)</w:t>
            </w: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[Name]</w:t>
            </w: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[Name]</w:t>
            </w:r>
          </w:p>
        </w:tc>
        <w:tc>
          <w:tcPr>
            <w:tcW w:type="dxa" w:w="1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[Number]</w:t>
            </w:r>
          </w:p>
        </w:tc>
      </w:tr>
      <w:tr>
        <w:trPr>
          <w:cantSplit/>
        </w:trPr>
        <w:tc>
          <w:tcPr>
            <w:tcW w:type="dxa" w:w="1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Operations lead</w:t>
            </w:r>
          </w:p>
        </w:tc>
        <w:tc>
          <w:tcPr>
            <w:tcW w:type="dxa" w:w="31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Restores critical activities in priority order</w:t>
            </w:r>
          </w:p>
        </w:tc>
        <w:tc>
          <w:tcPr>
            <w:tcW w:type="dxa" w:w="1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[Name]</w:t>
            </w:r>
          </w:p>
        </w:tc>
        <w:tc>
          <w:tcPr>
            <w:tcW w:type="dxa" w:w="1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[Name]</w:t>
            </w:r>
          </w:p>
        </w:tc>
        <w:tc>
          <w:tcPr>
            <w:tcW w:type="dxa" w:w="1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[Number]</w:t>
            </w:r>
          </w:p>
        </w:tc>
      </w:tr>
      <w:tr>
        <w:trPr>
          <w:cantSplit/>
        </w:trPr>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IT lead</w:t>
            </w:r>
          </w:p>
        </w:tc>
        <w:tc>
          <w:tcPr>
            <w:tcW w:type="dxa" w:w="31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Restores systems and data to the RTO and RPO</w:t>
            </w: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[Name]</w:t>
            </w: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[Name]</w:t>
            </w:r>
          </w:p>
        </w:tc>
        <w:tc>
          <w:tcPr>
            <w:tcW w:type="dxa" w:w="1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[Number]</w:t>
            </w:r>
          </w:p>
        </w:tc>
      </w:tr>
      <w:tr>
        <w:trPr>
          <w:cantSplit/>
        </w:trPr>
        <w:tc>
          <w:tcPr>
            <w:tcW w:type="dxa" w:w="1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Communications lead</w:t>
            </w:r>
          </w:p>
        </w:tc>
        <w:tc>
          <w:tcPr>
            <w:tcW w:type="dxa" w:w="31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Staff, customer, supplier and media messages</w:t>
            </w:r>
          </w:p>
        </w:tc>
        <w:tc>
          <w:tcPr>
            <w:tcW w:type="dxa" w:w="1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[Name]</w:t>
            </w:r>
          </w:p>
        </w:tc>
        <w:tc>
          <w:tcPr>
            <w:tcW w:type="dxa" w:w="1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[Name]</w:t>
            </w:r>
          </w:p>
        </w:tc>
        <w:tc>
          <w:tcPr>
            <w:tcW w:type="dxa" w:w="1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[Number]</w:t>
            </w:r>
          </w:p>
        </w:tc>
      </w:tr>
      <w:tr>
        <w:trPr>
          <w:cantSplit/>
        </w:trPr>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People lead</w:t>
            </w:r>
          </w:p>
        </w:tc>
        <w:tc>
          <w:tcPr>
            <w:tcW w:type="dxa" w:w="31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Staff welfare, working locations and pay</w:t>
            </w: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[Name]</w:t>
            </w: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[Name]</w:t>
            </w:r>
          </w:p>
        </w:tc>
        <w:tc>
          <w:tcPr>
            <w:tcW w:type="dxa" w:w="1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[Number]</w:t>
            </w:r>
          </w:p>
        </w:tc>
      </w:tr>
    </w:tbl>
    <w:p>
      <w:pPr>
        <w:spacing w:after="160" w:before="0"/>
      </w:pPr>
    </w:p>
    <w:p>
      <w:pPr>
        <w:keepNext/>
        <w:spacing w:after="140" w:before="0"/>
      </w:pPr>
      <w:r>
        <w:rPr>
          <w:b/>
          <w:bCs/>
        </w:rPr>
        <w:t xml:space="preserve">External contacts: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2438"/>
        <w:gridCol w:w="1700"/>
        <w:gridCol w:w="1500"/>
        <w:gridCol w:w="1800"/>
      </w:tblGrid>
      <w:tr>
        <w:trPr>
          <w:cantSplit/>
          <w:tblHeader/>
        </w:trPr>
        <w:tc>
          <w:tcPr>
            <w:tcW w:type="dxa" w:w="22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Organisation</w:t>
            </w:r>
          </w:p>
        </w:tc>
        <w:tc>
          <w:tcPr>
            <w:tcW w:type="dxa" w:w="2438"/>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What they provide</w:t>
            </w:r>
          </w:p>
        </w:tc>
        <w:tc>
          <w:tcPr>
            <w:tcW w:type="dxa" w:w="17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Contact name</w:t>
            </w:r>
          </w:p>
        </w:tc>
        <w:tc>
          <w:tcPr>
            <w:tcW w:type="dxa" w:w="15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24/7 number</w:t>
            </w:r>
          </w:p>
        </w:tc>
        <w:tc>
          <w:tcPr>
            <w:tcW w:type="dxa" w:w="18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Account or contract reference</w:t>
            </w:r>
          </w:p>
        </w:tc>
      </w:tr>
      <w:tr>
        <w:trPr>
          <w:cantSplit/>
        </w:trPr>
        <w:tc>
          <w:tcPr>
            <w:tcW w:type="dxa" w:w="2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highlight w:val="yellow"/>
              </w:rPr>
              <w:t xml:space="preserve">[IT or managed service provider]</w:t>
            </w:r>
          </w:p>
        </w:tc>
        <w:tc>
          <w:tcPr>
            <w:tcW w:type="dxa" w:w="24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[Support, remote access, backups]</w:t>
            </w:r>
          </w:p>
        </w:tc>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Pr>
        <w:tc>
          <w:tcPr>
            <w:tcW w:type="dxa" w:w="22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highlight w:val="yellow"/>
              </w:rPr>
              <w:t xml:space="preserve">[Cloud and software providers]</w:t>
            </w:r>
          </w:p>
        </w:tc>
        <w:tc>
          <w:tcPr>
            <w:tcW w:type="dxa" w:w="24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[Email, files, finance, payments]</w:t>
            </w:r>
          </w:p>
        </w:tc>
        <w:tc>
          <w:tcPr>
            <w:tcW w:type="dxa" w:w="1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Pr>
        <w:tc>
          <w:tcPr>
            <w:tcW w:type="dxa" w:w="2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highlight w:val="yellow"/>
              </w:rPr>
              <w:t xml:space="preserve">[Landlord or facilities]</w:t>
            </w:r>
          </w:p>
        </w:tc>
        <w:tc>
          <w:tcPr>
            <w:tcW w:type="dxa" w:w="24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[Building access, power, security]</w:t>
            </w:r>
          </w:p>
        </w:tc>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Pr>
        <w:tc>
          <w:tcPr>
            <w:tcW w:type="dxa" w:w="22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highlight w:val="yellow"/>
              </w:rPr>
              <w:t xml:space="preserve">[Insurer]</w:t>
            </w:r>
          </w:p>
        </w:tc>
        <w:tc>
          <w:tcPr>
            <w:tcW w:type="dxa" w:w="24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[Business interruption and cyber cover]</w:t>
            </w:r>
          </w:p>
        </w:tc>
        <w:tc>
          <w:tcPr>
            <w:tcW w:type="dxa" w:w="1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Pr>
        <w:tc>
          <w:tcPr>
            <w:tcW w:type="dxa" w:w="2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highlight w:val="yellow"/>
              </w:rPr>
              <w:t xml:space="preserve">[Bank]</w:t>
            </w:r>
          </w:p>
        </w:tc>
        <w:tc>
          <w:tcPr>
            <w:tcW w:type="dxa" w:w="24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[Payments and payroll]</w:t>
            </w:r>
          </w:p>
        </w:tc>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Pr>
        <w:tc>
          <w:tcPr>
            <w:tcW w:type="dxa" w:w="22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highlight w:val="yellow"/>
              </w:rPr>
              <w:t xml:space="preserve">[Key suppliers]</w:t>
            </w:r>
          </w:p>
        </w:tc>
        <w:tc>
          <w:tcPr>
            <w:tcW w:type="dxa" w:w="24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Pr>
        <w:tc>
          <w:tcPr>
            <w:tcW w:type="dxa" w:w="2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highlight w:val="yellow"/>
              </w:rPr>
              <w:t xml:space="preserve">[Utilities and telecoms]</w:t>
            </w:r>
          </w:p>
        </w:tc>
        <w:tc>
          <w:tcPr>
            <w:tcW w:type="dxa" w:w="24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[Power, water, internet, phones]</w:t>
            </w:r>
          </w:p>
        </w:tc>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bl>
    <w:p>
      <w:pPr>
        <w:pStyle w:val="Heading2"/>
      </w:pPr>
      <w:r>
        <w:t xml:space="preserve">3. Critical activities and recovery objectives</w:t>
      </w:r>
    </w:p>
    <w:p>
      <w:pPr>
        <w:keepNext/>
        <w:spacing w:after="140" w:before="0"/>
      </w:pPr>
      <w:r>
        <w:t xml:space="preserve">List each critical activity from the business impact analysis (Appendix A) in priority order. Recover activities in this order unless the continuity lead decides otherwise.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2900"/>
        <w:gridCol w:w="1500"/>
        <w:gridCol w:w="1000"/>
        <w:gridCol w:w="1000"/>
        <w:gridCol w:w="2338"/>
      </w:tblGrid>
      <w:tr>
        <w:trPr>
          <w:cantSplit/>
          <w:tblHeader/>
        </w:trPr>
        <w:tc>
          <w:tcPr>
            <w:tcW w:type="dxa" w:w="9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Priority</w:t>
            </w:r>
          </w:p>
        </w:tc>
        <w:tc>
          <w:tcPr>
            <w:tcW w:type="dxa" w:w="29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Critical activity</w:t>
            </w:r>
          </w:p>
        </w:tc>
        <w:tc>
          <w:tcPr>
            <w:tcW w:type="dxa" w:w="15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Owner</w:t>
            </w:r>
          </w:p>
        </w:tc>
        <w:tc>
          <w:tcPr>
            <w:tcW w:type="dxa" w:w="10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RTO</w:t>
            </w:r>
          </w:p>
        </w:tc>
        <w:tc>
          <w:tcPr>
            <w:tcW w:type="dxa" w:w="10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RPO</w:t>
            </w:r>
          </w:p>
        </w:tc>
        <w:tc>
          <w:tcPr>
            <w:tcW w:type="dxa" w:w="2338"/>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Minimum service level</w:t>
            </w:r>
          </w:p>
        </w:tc>
      </w:tr>
      <w:tr>
        <w:trPr>
          <w:cantSplit/>
        </w:trPr>
        <w:tc>
          <w:tcPr>
            <w:tcW w:type="dxa" w:w="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rPr>
              <w:t xml:space="preserve">1</w:t>
            </w:r>
          </w:p>
        </w:tc>
        <w:tc>
          <w:tcPr>
            <w:tcW w:type="dxa" w:w="2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[Activity]</w:t>
            </w: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[Name]</w:t>
            </w:r>
          </w:p>
        </w:tc>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[Time]</w:t>
            </w:r>
          </w:p>
        </w:tc>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[Time]</w:t>
            </w:r>
          </w:p>
        </w:tc>
        <w:tc>
          <w:tcPr>
            <w:tcW w:type="dxa" w:w="2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[Level]</w:t>
            </w:r>
          </w:p>
        </w:tc>
      </w:tr>
      <w:tr>
        <w:trPr>
          <w:cantSplit/>
        </w:trPr>
        <w:tc>
          <w:tcPr>
            <w:tcW w:type="dxa" w:w="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sz w:val="20"/>
                <w:szCs w:val="20"/>
              </w:rPr>
              <w:t xml:space="preserve">2</w:t>
            </w:r>
          </w:p>
        </w:tc>
        <w:tc>
          <w:tcPr>
            <w:tcW w:type="dxa" w:w="2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3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Pr>
        <w:tc>
          <w:tcPr>
            <w:tcW w:type="dxa" w:w="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rPr>
              <w:t xml:space="preserve">3</w:t>
            </w:r>
          </w:p>
        </w:tc>
        <w:tc>
          <w:tcPr>
            <w:tcW w:type="dxa" w:w="2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Pr>
        <w:tc>
          <w:tcPr>
            <w:tcW w:type="dxa" w:w="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sz w:val="20"/>
                <w:szCs w:val="20"/>
              </w:rPr>
              <w:t xml:space="preserve">4</w:t>
            </w:r>
          </w:p>
        </w:tc>
        <w:tc>
          <w:tcPr>
            <w:tcW w:type="dxa" w:w="2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3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Pr>
        <w:tc>
          <w:tcPr>
            <w:tcW w:type="dxa" w:w="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rPr>
              <w:t xml:space="preserve">5</w:t>
            </w:r>
          </w:p>
        </w:tc>
        <w:tc>
          <w:tcPr>
            <w:tcW w:type="dxa" w:w="2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bl>
    <w:p>
      <w:pPr>
        <w:pStyle w:val="Heading2"/>
      </w:pPr>
      <w:r>
        <w:t xml:space="preserve">4. Invocation and escalation</w:t>
      </w:r>
    </w:p>
    <w:p>
      <w:pPr>
        <w:spacing w:after="140" w:before="0"/>
      </w:pPr>
      <w:r>
        <w:t xml:space="preserve">Invoke the plan when </w:t>
      </w:r>
      <w:r>
        <w:rPr>
          <w:highlight w:val="yellow"/>
        </w:rPr>
        <w:t xml:space="preserve">[criteria, for example: a critical activity is likely to exceed half its RTO, a site is unusable, or a cyber incident affects core systems]</w:t>
      </w:r>
      <w:r>
        <w:t xml:space="preserve">. </w:t>
      </w:r>
      <w:r>
        <w:rPr>
          <w:highlight w:val="yellow"/>
        </w:rPr>
        <w:t xml:space="preserve">[Named roles]</w:t>
      </w:r>
      <w:r>
        <w:t xml:space="preserve"> can invoke it.</w:t>
      </w:r>
    </w:p>
    <w:p>
      <w:pPr>
        <w:spacing w:after="140" w:before="0"/>
      </w:pPr>
      <w:r>
        <w:t xml:space="preserve">The continuity lead records the time, the reason and every major decision in the decision log (Appendix B).</w:t>
      </w:r>
    </w:p>
    <w:p>
      <w:pPr>
        <w:pStyle w:val="Heading2"/>
      </w:pPr>
      <w:r>
        <w:t xml:space="preserve">5. Communications</w:t>
      </w:r>
    </w:p>
    <w:p>
      <w:pPr>
        <w:keepNext/>
        <w:spacing w:after="140" w:before="0"/>
      </w:pPr>
      <w:r>
        <w:t xml:space="preserve">Agree how the team will talk if email, phones or chat are unavailable or compromised, for example a personal-number call tree or a separate messaging account. Prepare holding statements for staff, customers and suppliers. Only </w:t>
      </w:r>
      <w:r>
        <w:rPr>
          <w:highlight w:val="yellow"/>
        </w:rPr>
        <w:t xml:space="preserve">[role]</w:t>
      </w:r>
      <w:r>
        <w:t xml:space="preserve"> speaks to the media.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3438"/>
        <w:gridCol w:w="2100"/>
        <w:gridCol w:w="2100"/>
      </w:tblGrid>
      <w:tr>
        <w:trPr>
          <w:cantSplit/>
          <w:tblHeader/>
        </w:trPr>
        <w:tc>
          <w:tcPr>
            <w:tcW w:type="dxa" w:w="20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Audience</w:t>
            </w:r>
          </w:p>
        </w:tc>
        <w:tc>
          <w:tcPr>
            <w:tcW w:type="dxa" w:w="3438"/>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Channel if normal systems are down</w:t>
            </w:r>
          </w:p>
        </w:tc>
        <w:tc>
          <w:tcPr>
            <w:tcW w:type="dxa" w:w="21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Message owner</w:t>
            </w:r>
          </w:p>
        </w:tc>
        <w:tc>
          <w:tcPr>
            <w:tcW w:type="dxa" w:w="21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Holding statement ready?</w:t>
            </w:r>
          </w:p>
        </w:tc>
      </w:tr>
      <w:tr>
        <w:trPr>
          <w:cantSplit/>
        </w:trPr>
        <w:tc>
          <w:tcPr>
            <w:tcW w:type="dxa" w:w="2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Staff</w:t>
            </w:r>
          </w:p>
        </w:tc>
        <w:tc>
          <w:tcPr>
            <w:tcW w:type="dxa" w:w="34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[Call tree, personal numbers, separate messaging group]</w:t>
            </w:r>
          </w:p>
        </w:tc>
        <w:tc>
          <w:tcPr>
            <w:tcW w:type="dxa" w:w="21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[Communications lead]</w:t>
            </w:r>
          </w:p>
        </w:tc>
        <w:tc>
          <w:tcPr>
            <w:tcW w:type="dxa" w:w="21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[Yes or no]</w:t>
            </w:r>
          </w:p>
        </w:tc>
      </w:tr>
      <w:tr>
        <w:trPr>
          <w:cantSplit/>
        </w:trPr>
        <w:tc>
          <w:tcPr>
            <w:tcW w:type="dxa" w:w="2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Customers</w:t>
            </w:r>
          </w:p>
        </w:tc>
        <w:tc>
          <w:tcPr>
            <w:tcW w:type="dxa" w:w="34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[Website notice, phone script, social media]</w:t>
            </w:r>
          </w:p>
        </w:tc>
        <w:tc>
          <w:tcPr>
            <w:tcW w:type="dxa" w:w="21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1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Pr>
        <w:tc>
          <w:tcPr>
            <w:tcW w:type="dxa" w:w="2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Suppliers</w:t>
            </w:r>
          </w:p>
        </w:tc>
        <w:tc>
          <w:tcPr>
            <w:tcW w:type="dxa" w:w="34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[Named contacts by phone]</w:t>
            </w:r>
          </w:p>
        </w:tc>
        <w:tc>
          <w:tcPr>
            <w:tcW w:type="dxa" w:w="21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1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Pr>
        <w:tc>
          <w:tcPr>
            <w:tcW w:type="dxa" w:w="2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Media</w:t>
            </w:r>
          </w:p>
        </w:tc>
        <w:tc>
          <w:tcPr>
            <w:tcW w:type="dxa" w:w="34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[Approved spokesperson only]</w:t>
            </w:r>
          </w:p>
        </w:tc>
        <w:tc>
          <w:tcPr>
            <w:tcW w:type="dxa" w:w="21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1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Pr>
        <w:tc>
          <w:tcPr>
            <w:tcW w:type="dxa" w:w="2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Insurer, regulators and others</w:t>
            </w:r>
          </w:p>
        </w:tc>
        <w:tc>
          <w:tcPr>
            <w:tcW w:type="dxa" w:w="34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[As contracts and rules require]</w:t>
            </w:r>
          </w:p>
        </w:tc>
        <w:tc>
          <w:tcPr>
            <w:tcW w:type="dxa" w:w="21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1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bl>
    <w:p>
      <w:pPr>
        <w:pStyle w:val="Heading2"/>
      </w:pPr>
      <w:r>
        <w:t xml:space="preserve">6. Recovery procedures</w:t>
      </w:r>
    </w:p>
    <w:p>
      <w:pPr>
        <w:keepNext/>
        <w:spacing w:after="140" w:before="0"/>
      </w:pPr>
      <w:r>
        <w:t xml:space="preserve">For each critical activity, write the steps for the first hour, the first 24 hours and until normal service returns, with who does each step and what they need. Copy this table once per activity.</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938"/>
        <w:gridCol w:w="1500"/>
        <w:gridCol w:w="2300"/>
      </w:tblGrid>
      <w:tr>
        <w:trPr>
          <w:cantSplit/>
          <w:tblHeader/>
        </w:trPr>
        <w:tc>
          <w:tcPr>
            <w:tcW w:type="dxa" w:w="19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Timeframe</w:t>
            </w:r>
          </w:p>
        </w:tc>
        <w:tc>
          <w:tcPr>
            <w:tcW w:type="dxa" w:w="3938"/>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Steps</w:t>
            </w:r>
          </w:p>
        </w:tc>
        <w:tc>
          <w:tcPr>
            <w:tcW w:type="dxa" w:w="15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Who</w:t>
            </w:r>
          </w:p>
        </w:tc>
        <w:tc>
          <w:tcPr>
            <w:tcW w:type="dxa" w:w="23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What they need</w:t>
            </w:r>
          </w:p>
        </w:tc>
      </w:tr>
      <w:tr>
        <w:trPr>
          <w:cantSplit/>
        </w:trPr>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First hour</w:t>
            </w:r>
          </w:p>
        </w:tc>
        <w:tc>
          <w:tcPr>
            <w:tcW w:type="dxa" w:w="39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[Steps]</w:t>
            </w: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[Role]</w:t>
            </w:r>
          </w:p>
        </w:tc>
        <w:tc>
          <w:tcPr>
            <w:tcW w:type="dxa" w:w="2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[People, equipment, access, information]</w:t>
            </w:r>
          </w:p>
        </w:tc>
      </w:tr>
      <w:tr>
        <w:trPr>
          <w:cantSplit/>
        </w:trPr>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First 24 hours</w:t>
            </w:r>
          </w:p>
        </w:tc>
        <w:tc>
          <w:tcPr>
            <w:tcW w:type="dxa" w:w="39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[Steps]</w:t>
            </w:r>
          </w:p>
        </w:tc>
        <w:tc>
          <w:tcPr>
            <w:tcW w:type="dxa" w:w="1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[Role]</w:t>
            </w:r>
          </w:p>
        </w:tc>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Pr>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Until normal service returns</w:t>
            </w:r>
          </w:p>
        </w:tc>
        <w:tc>
          <w:tcPr>
            <w:tcW w:type="dxa" w:w="39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[Steps]</w:t>
            </w: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[Role]</w:t>
            </w:r>
          </w:p>
        </w:tc>
        <w:tc>
          <w:tcPr>
            <w:tcW w:type="dxa" w:w="2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bl>
    <w:p>
      <w:pPr>
        <w:pStyle w:val="Heading2"/>
      </w:pPr>
      <w:r>
        <w:t xml:space="preserve">7. Resources and alternative arrangements</w:t>
      </w:r>
    </w:p>
    <w:p>
      <w:pPr>
        <w:spacing w:after="140" w:before="0"/>
      </w:pPr>
      <w:r>
        <w:t xml:space="preserve">Record alternative premises or remote working arrangements, spare equipment, how to restore from backups, alternative suppliers and any manual workarounds. Check that backups are kept separate from the systems they protect and that restores have been tested.</w:t>
      </w:r>
    </w:p>
    <w:p>
      <w:pPr>
        <w:pStyle w:val="Heading2"/>
      </w:pPr>
      <w:r>
        <w:t xml:space="preserve">8. Return to normal operations</w:t>
      </w:r>
    </w:p>
    <w:p>
      <w:pPr>
        <w:spacing w:after="140" w:before="0"/>
      </w:pPr>
      <w:r>
        <w:t xml:space="preserve">Set the criteria for standing down, the checks before systems return to full use, and how backlogs and manual records are brought back into normal systems.</w:t>
      </w:r>
    </w:p>
    <w:p>
      <w:pPr>
        <w:pStyle w:val="Heading2"/>
      </w:pPr>
      <w:r>
        <w:t xml:space="preserve">9. Testing and exercising</w:t>
      </w:r>
    </w:p>
    <w:p>
      <w:pPr>
        <w:spacing w:after="140" w:before="0"/>
      </w:pPr>
      <w:r>
        <w:t xml:space="preserve">Test this plan at least once a year and after significant changes. Record each exercise, its findings and the actions taken in the exercise log (Appendix C).</w:t>
      </w:r>
    </w:p>
    <w:p>
      <w:pPr>
        <w:pStyle w:val="Heading2"/>
      </w:pPr>
      <w:r>
        <w:t xml:space="preserve">10. Review and document control</w:t>
      </w:r>
    </w:p>
    <w:p>
      <w:pPr>
        <w:spacing w:after="140" w:before="0"/>
      </w:pPr>
      <w:r>
        <w:t xml:space="preserve">Review the plan after every exercise, real invocation and significant change, and at least every </w:t>
      </w:r>
      <w:r>
        <w:rPr>
          <w:highlight w:val="yellow"/>
        </w:rPr>
        <w:t xml:space="preserve">[12 months]</w:t>
      </w:r>
      <w:r>
        <w:t xml:space="preserve">. Keep a version history and make sure everyone with a role can reach the current copy, including offline.</w:t>
      </w:r>
    </w:p>
    <w:p>
      <w:pPr>
        <w:pStyle w:val="Heading1"/>
        <w:pageBreakBefore/>
      </w:pPr>
      <w:r>
        <w:t xml:space="preserve">Which cyber scenarios should the plan cover?</w:t>
      </w:r>
    </w:p>
    <w:p>
      <w:pPr>
        <w:keepNext/>
        <w:spacing w:after="140" w:before="0"/>
      </w:pPr>
      <w:r>
        <w:t xml:space="preserve">Cyber incidents disrupt a business differently from a fire or a flood: the building is fine, but systems, data or communications are not. Test your recovery steps against each of these: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3000"/>
        <w:gridCol w:w="4238"/>
      </w:tblGrid>
      <w:tr>
        <w:trPr>
          <w:cantSplit/>
          <w:tblHeader/>
        </w:trPr>
        <w:tc>
          <w:tcPr>
            <w:tcW w:type="dxa" w:w="24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Scenario</w:t>
            </w:r>
          </w:p>
        </w:tc>
        <w:tc>
          <w:tcPr>
            <w:tcW w:type="dxa" w:w="30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What stops working</w:t>
            </w:r>
          </w:p>
        </w:tc>
        <w:tc>
          <w:tcPr>
            <w:tcW w:type="dxa" w:w="4238"/>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What the plan must cover</w:t>
            </w:r>
          </w:p>
        </w:tc>
      </w:tr>
      <w:tr>
        <w:trPr>
          <w:cantSplit/>
        </w:trPr>
        <w:tc>
          <w:tcPr>
            <w:tcW w:type="dxa" w:w="2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Ransomware</w:t>
            </w:r>
          </w:p>
        </w:tc>
        <w:tc>
          <w:tcPr>
            <w:tcW w:type="dxa" w:w="3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Servers, laptops and possibly backups</w:t>
            </w:r>
          </w:p>
        </w:tc>
        <w:tc>
          <w:tcPr>
            <w:tcW w:type="dxa" w:w="42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Restoring from backups the attacker could not reach, clean rebuilds, manual workarounds</w:t>
            </w:r>
          </w:p>
        </w:tc>
      </w:tr>
      <w:tr>
        <w:trPr>
          <w:cantSplit/>
        </w:trPr>
        <w:tc>
          <w:tcPr>
            <w:tcW w:type="dxa" w:w="2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Email and cloud account takeover</w:t>
            </w:r>
          </w:p>
        </w:tc>
        <w:tc>
          <w:tcPr>
            <w:tcW w:type="dxa" w:w="3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Email, file sharing and collaboration tools</w:t>
            </w:r>
          </w:p>
        </w:tc>
        <w:tc>
          <w:tcPr>
            <w:tcW w:type="dxa" w:w="42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A separate communication channel and how staff work without the main tenant</w:t>
            </w:r>
          </w:p>
        </w:tc>
      </w:tr>
      <w:tr>
        <w:trPr>
          <w:cantSplit/>
        </w:trPr>
        <w:tc>
          <w:tcPr>
            <w:tcW w:type="dxa" w:w="2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Outage at a cloud or software provider</w:t>
            </w:r>
          </w:p>
        </w:tc>
        <w:tc>
          <w:tcPr>
            <w:tcW w:type="dxa" w:w="3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A platform you rely on, such as payments or finance</w:t>
            </w:r>
          </w:p>
        </w:tc>
        <w:tc>
          <w:tcPr>
            <w:tcW w:type="dxa" w:w="42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Workarounds, provider status updates and a fallback provider where the RTO demands one</w:t>
            </w:r>
          </w:p>
        </w:tc>
      </w:tr>
      <w:tr>
        <w:trPr>
          <w:cantSplit/>
        </w:trPr>
        <w:tc>
          <w:tcPr>
            <w:tcW w:type="dxa" w:w="2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Managed service provider compromise</w:t>
            </w:r>
          </w:p>
        </w:tc>
        <w:tc>
          <w:tcPr>
            <w:tcW w:type="dxa" w:w="3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Remote access to your systems</w:t>
            </w:r>
          </w:p>
        </w:tc>
        <w:tc>
          <w:tcPr>
            <w:tcW w:type="dxa" w:w="42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Cutting the provider's access and recovering without them</w:t>
            </w:r>
          </w:p>
        </w:tc>
      </w:tr>
      <w:tr>
        <w:trPr>
          <w:cantSplit/>
        </w:trPr>
        <w:tc>
          <w:tcPr>
            <w:tcW w:type="dxa" w:w="2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Internet or telephony failure</w:t>
            </w:r>
          </w:p>
        </w:tc>
        <w:tc>
          <w:tcPr>
            <w:tcW w:type="dxa" w:w="3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Online sales, calls and remote working</w:t>
            </w:r>
          </w:p>
        </w:tc>
        <w:tc>
          <w:tcPr>
            <w:tcW w:type="dxa" w:w="42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Backup connections and alternative routes for customers</w:t>
            </w:r>
          </w:p>
        </w:tc>
      </w:tr>
    </w:tbl>
    <w:p>
      <w:pPr>
        <w:spacing w:after="140" w:before="160"/>
      </w:pPr>
      <w:r>
        <w:t xml:space="preserve">Responding to the attack itself belongs in your incident response plan; the continuity plan keeps the business trading while that happens. Our free incident response plan template is at </w:t>
      </w:r>
      <w:hyperlink w:history="1" r:id="rIdq8ynphltdyd2jrgdn5lkd">
        <w:r>
          <w:rPr>
            <w:rStyle w:val="Hyperlink"/>
          </w:rPr>
          <w:t xml:space="preserve">sovereignsecure.co.uk/incident-response-plan-template/</w:t>
        </w:r>
      </w:hyperlink>
      <w:r>
        <w:t xml:space="preserve">.</w:t>
      </w:r>
    </w:p>
    <w:p>
      <w:pPr>
        <w:pStyle w:val="Heading1"/>
      </w:pPr>
      <w:r>
        <w:t xml:space="preserve">How often should the plan be tested?</w:t>
      </w:r>
    </w:p>
    <w:p>
      <w:pPr>
        <w:keepNext/>
        <w:spacing w:after="140" w:before="0"/>
      </w:pPr>
      <w:r>
        <w:t xml:space="preserve">At least once a year, and after significant changes to sites, systems, suppliers or people. ISO 22301 requires an exercise programme run at planned intervals and when there are significant changes, and expects you to act on the results.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638"/>
      </w:tblGrid>
      <w:tr>
        <w:trPr>
          <w:cantSplit/>
          <w:tblHeader/>
        </w:trPr>
        <w:tc>
          <w:tcPr>
            <w:tcW w:type="dxa" w:w="30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Method</w:t>
            </w:r>
          </w:p>
        </w:tc>
        <w:tc>
          <w:tcPr>
            <w:tcW w:type="dxa" w:w="6638"/>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What it tests</w:t>
            </w:r>
          </w:p>
        </w:tc>
      </w:tr>
      <w:tr>
        <w:trPr>
          <w:cantSplit/>
        </w:trPr>
        <w:tc>
          <w:tcPr>
            <w:tcW w:type="dxa" w:w="3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Plan walkthrough</w:t>
            </w:r>
          </w:p>
        </w:tc>
        <w:tc>
          <w:tcPr>
            <w:tcW w:type="dxa" w:w="66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Contacts, roles and documents are current</w:t>
            </w:r>
          </w:p>
        </w:tc>
      </w:tr>
      <w:tr>
        <w:trPr>
          <w:cantSplit/>
        </w:trPr>
        <w:tc>
          <w:tcPr>
            <w:tcW w:type="dxa" w:w="3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Tabletop exercise</w:t>
            </w:r>
          </w:p>
        </w:tc>
        <w:tc>
          <w:tcPr>
            <w:tcW w:type="dxa" w:w="66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Decisions, escalation and communication against a realistic scenario</w:t>
            </w:r>
          </w:p>
        </w:tc>
      </w:tr>
      <w:tr>
        <w:trPr>
          <w:cantSplit/>
        </w:trPr>
        <w:tc>
          <w:tcPr>
            <w:tcW w:type="dxa" w:w="3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Technical recovery test</w:t>
            </w:r>
          </w:p>
        </w:tc>
        <w:tc>
          <w:tcPr>
            <w:tcW w:type="dxa" w:w="66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Backups restore within the RPO and systems return within the RTO</w:t>
            </w:r>
          </w:p>
        </w:tc>
      </w:tr>
      <w:tr>
        <w:trPr>
          <w:cantSplit/>
        </w:trPr>
        <w:tc>
          <w:tcPr>
            <w:tcW w:type="dxa" w:w="3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Live or simulation exercise</w:t>
            </w:r>
          </w:p>
        </w:tc>
        <w:tc>
          <w:tcPr>
            <w:tcW w:type="dxa" w:w="66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Whether teams can actually work from alternative sites or systems</w:t>
            </w:r>
          </w:p>
        </w:tc>
      </w:tr>
    </w:tbl>
    <w:p>
      <w:pPr>
        <w:spacing w:after="140" w:before="160"/>
      </w:pPr>
      <w:r>
        <w:t xml:space="preserve">The NCSC's free Exercise in a Box (</w:t>
      </w:r>
      <w:hyperlink w:history="1" r:id="rIdaqx_g8tyskdhrcu2h5pri">
        <w:r>
          <w:rPr>
            <w:rStyle w:val="Hyperlink"/>
          </w:rPr>
          <w:t xml:space="preserve">ncsc.gov.uk/section/exercise-in-a-box/overview</w:t>
        </w:r>
      </w:hyperlink>
      <w:r>
        <w:t xml:space="preserve">) includes scenarios that small organisations can run themselves.</w:t>
      </w:r>
    </w:p>
    <w:p>
      <w:pPr>
        <w:pStyle w:val="Heading1"/>
        <w:pageBreakBefore/>
      </w:pPr>
      <w:r>
        <w:t xml:space="preserve">How does this template map to ISO 22301 and ISO 27001?</w:t>
      </w:r>
    </w:p>
    <w:p>
      <w:pPr>
        <w:keepNext/>
        <w:spacing w:after="140" w:before="0"/>
      </w:pPr>
      <w:r>
        <w:t xml:space="preserve">Each section supports a clause of ISO 22301:2019 and the continuity controls in ISO/IEC 27001:2022 Annex 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4000"/>
        <w:gridCol w:w="3238"/>
      </w:tblGrid>
      <w:tr>
        <w:trPr>
          <w:cantSplit/>
          <w:tblHeader/>
        </w:trPr>
        <w:tc>
          <w:tcPr>
            <w:tcW w:type="dxa" w:w="24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Template section</w:t>
            </w:r>
          </w:p>
        </w:tc>
        <w:tc>
          <w:tcPr>
            <w:tcW w:type="dxa" w:w="40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ISO 22301:2019</w:t>
            </w:r>
          </w:p>
        </w:tc>
        <w:tc>
          <w:tcPr>
            <w:tcW w:type="dxa" w:w="3238"/>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ISO 27001:2022 Annex A</w:t>
            </w:r>
          </w:p>
        </w:tc>
      </w:tr>
      <w:tr>
        <w:trPr>
          <w:cantSplit/>
        </w:trPr>
        <w:tc>
          <w:tcPr>
            <w:tcW w:type="dxa" w:w="2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Appendix A, section 3</w:t>
            </w:r>
          </w:p>
        </w:tc>
        <w:tc>
          <w:tcPr>
            <w:tcW w:type="dxa" w:w="4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8.2.2 Business impact analysis</w:t>
            </w:r>
          </w:p>
        </w:tc>
        <w:tc>
          <w:tcPr>
            <w:tcW w:type="dxa" w:w="32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5.30 ICT readiness for business continuity</w:t>
            </w:r>
          </w:p>
        </w:tc>
      </w:tr>
      <w:tr>
        <w:trPr>
          <w:cantSplit/>
        </w:trPr>
        <w:tc>
          <w:tcPr>
            <w:tcW w:type="dxa" w:w="2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Sections 2 and 4</w:t>
            </w:r>
          </w:p>
        </w:tc>
        <w:tc>
          <w:tcPr>
            <w:tcW w:type="dxa" w:w="4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8.4.2 Response structure</w:t>
            </w:r>
          </w:p>
        </w:tc>
        <w:tc>
          <w:tcPr>
            <w:tcW w:type="dxa" w:w="32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5.29 Information security during disruption</w:t>
            </w:r>
          </w:p>
        </w:tc>
      </w:tr>
      <w:tr>
        <w:trPr>
          <w:cantSplit/>
        </w:trPr>
        <w:tc>
          <w:tcPr>
            <w:tcW w:type="dxa" w:w="2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Section 5</w:t>
            </w:r>
          </w:p>
        </w:tc>
        <w:tc>
          <w:tcPr>
            <w:tcW w:type="dxa" w:w="4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8.4.3 Warning and communication</w:t>
            </w:r>
          </w:p>
        </w:tc>
        <w:tc>
          <w:tcPr>
            <w:tcW w:type="dxa" w:w="32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5.29</w:t>
            </w:r>
          </w:p>
        </w:tc>
      </w:tr>
      <w:tr>
        <w:trPr>
          <w:cantSplit/>
        </w:trPr>
        <w:tc>
          <w:tcPr>
            <w:tcW w:type="dxa" w:w="2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Sections 6 and 7</w:t>
            </w:r>
          </w:p>
        </w:tc>
        <w:tc>
          <w:tcPr>
            <w:tcW w:type="dxa" w:w="4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8.3 Strategies and solutions, 8.4.4 Business continuity plans</w:t>
            </w:r>
          </w:p>
        </w:tc>
        <w:tc>
          <w:tcPr>
            <w:tcW w:type="dxa" w:w="32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5.30, 8.13 Information backup, 8.14 Redundancy</w:t>
            </w:r>
          </w:p>
        </w:tc>
      </w:tr>
      <w:tr>
        <w:trPr>
          <w:cantSplit/>
        </w:trPr>
        <w:tc>
          <w:tcPr>
            <w:tcW w:type="dxa" w:w="2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Section 8</w:t>
            </w:r>
          </w:p>
        </w:tc>
        <w:tc>
          <w:tcPr>
            <w:tcW w:type="dxa" w:w="4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8.4.5 Recovery</w:t>
            </w:r>
          </w:p>
        </w:tc>
        <w:tc>
          <w:tcPr>
            <w:tcW w:type="dxa" w:w="32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5.30</w:t>
            </w:r>
          </w:p>
        </w:tc>
      </w:tr>
      <w:tr>
        <w:trPr>
          <w:cantSplit/>
        </w:trPr>
        <w:tc>
          <w:tcPr>
            <w:tcW w:type="dxa" w:w="2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Section 9, Appendix C</w:t>
            </w:r>
          </w:p>
        </w:tc>
        <w:tc>
          <w:tcPr>
            <w:tcW w:type="dxa" w:w="4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8.5 Exercise programme</w:t>
            </w:r>
          </w:p>
        </w:tc>
        <w:tc>
          <w:tcPr>
            <w:tcW w:type="dxa" w:w="32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5.30</w:t>
            </w:r>
          </w:p>
        </w:tc>
      </w:tr>
      <w:tr>
        <w:trPr>
          <w:cantSplit/>
        </w:trPr>
        <w:tc>
          <w:tcPr>
            <w:tcW w:type="dxa" w:w="2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Section 10</w:t>
            </w:r>
          </w:p>
        </w:tc>
        <w:tc>
          <w:tcPr>
            <w:tcW w:type="dxa" w:w="4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7.5 Documented information, 8.6 Evaluation of business continuity documentation and capabilities</w:t>
            </w:r>
          </w:p>
        </w:tc>
        <w:tc>
          <w:tcPr>
            <w:tcW w:type="dxa" w:w="32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5.29, 5.30</w:t>
            </w:r>
          </w:p>
        </w:tc>
      </w:tr>
    </w:tbl>
    <w:p>
      <w:pPr>
        <w:spacing w:after="140" w:before="160"/>
        <w:sectPr>
          <w:footerReference w:type="default" r:id="rId6"/>
          <w:pgSz w:w="11906" w:h="16838" w:orient="portrait"/>
          <w:pgMar w:top="1134" w:right="1134" w:bottom="1134" w:left="1134" w:header="708" w:footer="560" w:gutter="0"/>
          <w:pgNumType/>
          <w:docGrid w:linePitch="360"/>
        </w:sectPr>
      </w:pPr>
      <w:r>
        <w:t xml:space="preserve">A plan on its own is not enough for ISO 22301 certification, which assesses a whole business continuity management system, including the risk assessment, internal audit and management review behind the plan. Firms within the scope of the PRA and FCA operational resilience rules also set impact tolerances for important business services, and their continuity plans should support them.</w:t>
      </w:r>
    </w:p>
    <w:p>
      <w:pPr>
        <w:pStyle w:val="Heading1"/>
      </w:pPr>
      <w:r>
        <w:t xml:space="preserve">Appendix A: Business impact analysis worksheet</w:t>
      </w:r>
    </w:p>
    <w:p>
      <w:pPr>
        <w:keepNext/>
        <w:spacing w:after="140" w:before="0"/>
      </w:pPr>
      <w:r>
        <w:t xml:space="preserve">Complete this before you write the plan. For each activity, work out how the impact of stopping it grows over time, then set four measures:</w:t>
      </w:r>
    </w:p>
    <w:p>
      <w:pPr>
        <w:pStyle w:val="ListParagraph"/>
        <w:numPr>
          <w:ilvl w:val="0"/>
          <w:numId w:val="3"/>
        </w:numPr>
        <w:spacing w:after="90"/>
      </w:pPr>
      <w:r>
        <w:rPr>
          <w:b/>
          <w:bCs/>
        </w:rPr>
        <w:t xml:space="preserve">Maximum tolerable period of disruption (MTPD):</w:t>
      </w:r>
      <w:r>
        <w:t xml:space="preserve"> the point at which the impact of not resuming becomes unacceptable.</w:t>
      </w:r>
    </w:p>
    <w:p>
      <w:pPr>
        <w:pStyle w:val="ListParagraph"/>
        <w:numPr>
          <w:ilvl w:val="0"/>
          <w:numId w:val="3"/>
        </w:numPr>
        <w:spacing w:after="90"/>
      </w:pPr>
      <w:r>
        <w:rPr>
          <w:b/>
          <w:bCs/>
        </w:rPr>
        <w:t xml:space="preserve">Recovery time objective (RTO):</w:t>
      </w:r>
      <w:r>
        <w:t xml:space="preserve"> the target time to resume the activity, which must be shorter than the MTPD.</w:t>
      </w:r>
    </w:p>
    <w:p>
      <w:pPr>
        <w:pStyle w:val="ListParagraph"/>
        <w:numPr>
          <w:ilvl w:val="0"/>
          <w:numId w:val="3"/>
        </w:numPr>
        <w:spacing w:after="90"/>
      </w:pPr>
      <w:r>
        <w:rPr>
          <w:b/>
          <w:bCs/>
        </w:rPr>
        <w:t xml:space="preserve">Recovery point objective (RPO):</w:t>
      </w:r>
      <w:r>
        <w:t xml:space="preserve"> the most data you can afford to lose, which sets your backup frequency.</w:t>
      </w:r>
    </w:p>
    <w:p>
      <w:pPr>
        <w:pStyle w:val="ListParagraph"/>
        <w:numPr>
          <w:ilvl w:val="0"/>
          <w:numId w:val="3"/>
        </w:numPr>
        <w:spacing w:after="90"/>
      </w:pPr>
      <w:r>
        <w:rPr>
          <w:b/>
          <w:bCs/>
        </w:rPr>
        <w:t xml:space="preserve">Minimum business continuity objective (MBCO):</w:t>
      </w:r>
      <w:r>
        <w:t xml:space="preserve"> the reduced level of service you can accept while recovering.</w:t>
      </w:r>
    </w:p>
    <w:p>
      <w:pPr>
        <w:keepNext/>
        <w:spacing w:after="140" w:before="0"/>
      </w:pPr>
      <w:r>
        <w:t xml:space="preserve">The first row is a business continuity plan example showing the level of detail to aim for; its timings are illustrative, not recommendations.</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1400"/>
        <w:gridCol w:w="2200"/>
        <w:gridCol w:w="900"/>
        <w:gridCol w:w="900"/>
        <w:gridCol w:w="900"/>
        <w:gridCol w:w="1600"/>
        <w:gridCol w:w="2400"/>
        <w:gridCol w:w="2270"/>
      </w:tblGrid>
      <w:tr>
        <w:trPr>
          <w:cantSplit/>
          <w:tblHeader/>
        </w:trPr>
        <w:tc>
          <w:tcPr>
            <w:tcW w:type="dxa" w:w="20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Activity</w:t>
            </w:r>
          </w:p>
        </w:tc>
        <w:tc>
          <w:tcPr>
            <w:tcW w:type="dxa" w:w="14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Owner</w:t>
            </w:r>
          </w:p>
        </w:tc>
        <w:tc>
          <w:tcPr>
            <w:tcW w:type="dxa" w:w="22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Impact if stopped</w:t>
            </w:r>
          </w:p>
        </w:tc>
        <w:tc>
          <w:tcPr>
            <w:tcW w:type="dxa" w:w="9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MTPD</w:t>
            </w:r>
          </w:p>
        </w:tc>
        <w:tc>
          <w:tcPr>
            <w:tcW w:type="dxa" w:w="9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RTO</w:t>
            </w:r>
          </w:p>
        </w:tc>
        <w:tc>
          <w:tcPr>
            <w:tcW w:type="dxa" w:w="9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RPO</w:t>
            </w:r>
          </w:p>
        </w:tc>
        <w:tc>
          <w:tcPr>
            <w:tcW w:type="dxa" w:w="16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Minimum service</w:t>
            </w:r>
          </w:p>
        </w:tc>
        <w:tc>
          <w:tcPr>
            <w:tcW w:type="dxa" w:w="24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Dependencies</w:t>
            </w:r>
          </w:p>
        </w:tc>
        <w:tc>
          <w:tcPr>
            <w:tcW w:type="dxa" w:w="227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Workaround</w:t>
            </w:r>
          </w:p>
        </w:tc>
      </w:tr>
      <w:tr>
        <w:trPr>
          <w:cantSplit/>
          <w:trHeight w:val="500" w:hRule="atLeast"/>
        </w:trPr>
        <w:tc>
          <w:tcPr>
            <w:tcW w:type="dxa" w:w="2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[Example: taking and fulfilling customer orders]</w:t>
            </w:r>
          </w:p>
        </w:tc>
        <w:tc>
          <w:tcPr>
            <w:tcW w:type="dxa" w:w="1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[Head of operations]</w:t>
            </w:r>
          </w:p>
        </w:tc>
        <w:tc>
          <w:tcPr>
            <w:tcW w:type="dxa" w:w="2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[Lost revenue from day 1, contract penalties from day 3]</w:t>
            </w:r>
          </w:p>
        </w:tc>
        <w:tc>
          <w:tcPr>
            <w:tcW w:type="dxa" w:w="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[3 days]</w:t>
            </w:r>
          </w:p>
        </w:tc>
        <w:tc>
          <w:tcPr>
            <w:tcW w:type="dxa" w:w="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[24 hours]</w:t>
            </w:r>
          </w:p>
        </w:tc>
        <w:tc>
          <w:tcPr>
            <w:tcW w:type="dxa" w:w="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[1 hour]</w:t>
            </w: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[Orders by phone only]</w:t>
            </w:r>
          </w:p>
        </w:tc>
        <w:tc>
          <w:tcPr>
            <w:tcW w:type="dxa" w:w="2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[E-commerce platform, payment provider, warehouse staff, courier]</w:t>
            </w:r>
          </w:p>
        </w:tc>
        <w:tc>
          <w:tcPr>
            <w:tcW w:type="dxa" w:w="22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[Manual order log, courier booked by phone]</w:t>
            </w:r>
          </w:p>
        </w:tc>
      </w:tr>
      <w:tr>
        <w:trPr>
          <w:cantSplit/>
          <w:trHeight w:val="500" w:hRule="atLeast"/>
        </w:trPr>
        <w:tc>
          <w:tcPr>
            <w:tcW w:type="dxa" w:w="2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2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2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Height w:val="500" w:hRule="atLeast"/>
        </w:trPr>
        <w:tc>
          <w:tcPr>
            <w:tcW w:type="dxa" w:w="2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2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Height w:val="500" w:hRule="atLeast"/>
        </w:trPr>
        <w:tc>
          <w:tcPr>
            <w:tcW w:type="dxa" w:w="2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2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2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Height w:val="500" w:hRule="atLeast"/>
        </w:trPr>
        <w:tc>
          <w:tcPr>
            <w:tcW w:type="dxa" w:w="2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2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Height w:val="500" w:hRule="atLeast"/>
        </w:trPr>
        <w:tc>
          <w:tcPr>
            <w:tcW w:type="dxa" w:w="2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2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2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Height w:val="500" w:hRule="atLeast"/>
        </w:trPr>
        <w:tc>
          <w:tcPr>
            <w:tcW w:type="dxa" w:w="2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2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Height w:val="500" w:hRule="atLeast"/>
        </w:trPr>
        <w:tc>
          <w:tcPr>
            <w:tcW w:type="dxa" w:w="2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2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2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Height w:val="500" w:hRule="atLeast"/>
        </w:trPr>
        <w:tc>
          <w:tcPr>
            <w:tcW w:type="dxa" w:w="2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2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bl>
    <w:p>
      <w:pPr>
        <w:pStyle w:val="Heading1"/>
        <w:pageBreakBefore/>
      </w:pPr>
      <w:r>
        <w:t xml:space="preserve">Appendix B: Decision log</w:t>
      </w:r>
    </w:p>
    <w:p>
      <w:pPr>
        <w:keepNext/>
        <w:spacing w:after="140" w:before="0"/>
      </w:pPr>
      <w:r>
        <w:t xml:space="preserve">The continuity lead records every major decision from invocation to stand-down.</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0"/>
        <w:gridCol w:w="4400"/>
        <w:gridCol w:w="1800"/>
        <w:gridCol w:w="3400"/>
        <w:gridCol w:w="3170"/>
      </w:tblGrid>
      <w:tr>
        <w:trPr>
          <w:cantSplit/>
          <w:tblHeader/>
        </w:trPr>
        <w:tc>
          <w:tcPr>
            <w:tcW w:type="dxa" w:w="18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Date and time</w:t>
            </w:r>
          </w:p>
        </w:tc>
        <w:tc>
          <w:tcPr>
            <w:tcW w:type="dxa" w:w="44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Decision or action</w:t>
            </w:r>
          </w:p>
        </w:tc>
        <w:tc>
          <w:tcPr>
            <w:tcW w:type="dxa" w:w="18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Made by</w:t>
            </w:r>
          </w:p>
        </w:tc>
        <w:tc>
          <w:tcPr>
            <w:tcW w:type="dxa" w:w="34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Reason</w:t>
            </w:r>
          </w:p>
        </w:tc>
        <w:tc>
          <w:tcPr>
            <w:tcW w:type="dxa" w:w="317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Follow-up and owner</w:t>
            </w:r>
          </w:p>
        </w:tc>
      </w:tr>
      <w:tr>
        <w:trPr>
          <w:cantSplit/>
          <w:trHeight w:val="460" w:hRule="atLeast"/>
        </w:trPr>
        <w:tc>
          <w:tcPr>
            <w:tcW w:type="dxa" w:w="1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4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3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31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Height w:val="460" w:hRule="atLeast"/>
        </w:trPr>
        <w:tc>
          <w:tcPr>
            <w:tcW w:type="dxa" w:w="1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4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3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31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Height w:val="460" w:hRule="atLeast"/>
        </w:trPr>
        <w:tc>
          <w:tcPr>
            <w:tcW w:type="dxa" w:w="1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4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3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31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Height w:val="460" w:hRule="atLeast"/>
        </w:trPr>
        <w:tc>
          <w:tcPr>
            <w:tcW w:type="dxa" w:w="1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4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3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31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Height w:val="460" w:hRule="atLeast"/>
        </w:trPr>
        <w:tc>
          <w:tcPr>
            <w:tcW w:type="dxa" w:w="1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4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3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31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Height w:val="460" w:hRule="atLeast"/>
        </w:trPr>
        <w:tc>
          <w:tcPr>
            <w:tcW w:type="dxa" w:w="1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4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3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31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Height w:val="460" w:hRule="atLeast"/>
        </w:trPr>
        <w:tc>
          <w:tcPr>
            <w:tcW w:type="dxa" w:w="1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4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3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31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Height w:val="460" w:hRule="atLeast"/>
        </w:trPr>
        <w:tc>
          <w:tcPr>
            <w:tcW w:type="dxa" w:w="1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4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3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31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Height w:val="460" w:hRule="atLeast"/>
        </w:trPr>
        <w:tc>
          <w:tcPr>
            <w:tcW w:type="dxa" w:w="1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4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3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31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Height w:val="460" w:hRule="atLeast"/>
        </w:trPr>
        <w:tc>
          <w:tcPr>
            <w:tcW w:type="dxa" w:w="1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4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3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31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Height w:val="460" w:hRule="atLeast"/>
        </w:trPr>
        <w:tc>
          <w:tcPr>
            <w:tcW w:type="dxa" w:w="1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4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3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31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Height w:val="460" w:hRule="atLeast"/>
        </w:trPr>
        <w:tc>
          <w:tcPr>
            <w:tcW w:type="dxa" w:w="1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4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3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31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bl>
    <w:p>
      <w:pPr>
        <w:pStyle w:val="Heading1"/>
        <w:pageBreakBefore/>
      </w:pPr>
      <w:r>
        <w:t xml:space="preserve">Appendix C: Exercise log</w:t>
      </w:r>
    </w:p>
    <w:p>
      <w:pPr>
        <w:keepNext/>
        <w:spacing w:after="140" w:before="0"/>
      </w:pPr>
      <w:r>
        <w:t xml:space="preserve">Record each exercise, what it found and the actions taken. ISO 22301 clause 8.5 expects you to act on the results.</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900"/>
        <w:gridCol w:w="2800"/>
        <w:gridCol w:w="3500"/>
        <w:gridCol w:w="3770"/>
        <w:gridCol w:w="1200"/>
      </w:tblGrid>
      <w:tr>
        <w:trPr>
          <w:cantSplit/>
          <w:tblHeader/>
        </w:trPr>
        <w:tc>
          <w:tcPr>
            <w:tcW w:type="dxa" w:w="14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Date</w:t>
            </w:r>
          </w:p>
        </w:tc>
        <w:tc>
          <w:tcPr>
            <w:tcW w:type="dxa" w:w="19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Method</w:t>
            </w:r>
          </w:p>
        </w:tc>
        <w:tc>
          <w:tcPr>
            <w:tcW w:type="dxa" w:w="28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Scenario</w:t>
            </w:r>
          </w:p>
        </w:tc>
        <w:tc>
          <w:tcPr>
            <w:tcW w:type="dxa" w:w="35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Findings</w:t>
            </w:r>
          </w:p>
        </w:tc>
        <w:tc>
          <w:tcPr>
            <w:tcW w:type="dxa" w:w="377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Actions, owners and dates</w:t>
            </w:r>
          </w:p>
        </w:tc>
        <w:tc>
          <w:tcPr>
            <w:tcW w:type="dxa" w:w="12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Closed</w:t>
            </w:r>
          </w:p>
        </w:tc>
      </w:tr>
      <w:tr>
        <w:trPr>
          <w:cantSplit/>
          <w:trHeight w:val="560" w:hRule="atLeast"/>
        </w:trPr>
        <w:tc>
          <w:tcPr>
            <w:tcW w:type="dxa" w:w="1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3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37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Height w:val="560" w:hRule="atLeast"/>
        </w:trPr>
        <w:tc>
          <w:tcPr>
            <w:tcW w:type="dxa" w:w="1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3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37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2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Height w:val="560" w:hRule="atLeast"/>
        </w:trPr>
        <w:tc>
          <w:tcPr>
            <w:tcW w:type="dxa" w:w="1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3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37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Height w:val="560" w:hRule="atLeast"/>
        </w:trPr>
        <w:tc>
          <w:tcPr>
            <w:tcW w:type="dxa" w:w="1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3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37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2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Height w:val="560" w:hRule="atLeast"/>
        </w:trPr>
        <w:tc>
          <w:tcPr>
            <w:tcW w:type="dxa" w:w="1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3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37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Height w:val="560" w:hRule="atLeast"/>
        </w:trPr>
        <w:tc>
          <w:tcPr>
            <w:tcW w:type="dxa" w:w="1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3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37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2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Height w:val="560" w:hRule="atLeast"/>
        </w:trPr>
        <w:tc>
          <w:tcPr>
            <w:tcW w:type="dxa" w:w="14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8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3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37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Height w:val="560" w:hRule="atLeast"/>
        </w:trPr>
        <w:tc>
          <w:tcPr>
            <w:tcW w:type="dxa" w:w="14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8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3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37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2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bl>
    <w:sectPr>
      <w:footerReference w:type="default" r:id="rId7"/>
      <w:type w:val="nextPage"/>
      <w:pgSz w:w="16838" w:h="11906" w:orient="landscape"/>
      <w:pgMar w:top="1134" w:right="1134" w:bottom="1134" w:left="1134" w:header="708" w:footer="56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02840" w:sz="6" w:space="6"/>
      </w:pBdr>
      <w:spacing w:after="0" w:before="0"/>
    </w:pPr>
    <w:r>
      <w:rPr>
        <w:color w:val="5B6770"/>
        <w:sz w:val="16"/>
        <w:szCs w:val="16"/>
      </w:rPr>
      <w:t xml:space="preserve">Business continuity plan template  |  Sovereign Secure Ltd  |  sovereignsecure.co.uk</w:t>
    </w:r>
    <w:r>
      <w:ptab w:alignment="right" w:relativeTo="margin" w:leader="none"/>
    </w:r>
    <w:r>
      <w:rPr>
        <w:color w:val="5B6770"/>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02840" w:sz="6" w:space="6"/>
      </w:pBdr>
      <w:spacing w:after="0" w:before="0"/>
    </w:pPr>
    <w:r>
      <w:rPr>
        <w:color w:val="5B6770"/>
        <w:sz w:val="16"/>
        <w:szCs w:val="16"/>
      </w:rPr>
      <w:t xml:space="preserve">Business continuity plan template  |  Sovereign Secure Ltd  |  sovereignsecure.co.uk</w:t>
    </w:r>
    <w:r>
      <w:ptab w:alignment="right" w:relativeTo="margin" w:leader="none"/>
    </w:r>
    <w:r>
      <w:rPr>
        <w:color w:val="5B6770"/>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00" w:hanging="260"/>
      </w:pPr>
      <w:rPr>
        <w:color w:val="E02840"/>
      </w:rPr>
    </w:lvl>
  </w:abstractNum>
  <w:abstractNum w:abstractNumId="3" w15:restartNumberingAfterBreak="0">
    <w:multiLevelType w:val="hybridMultilevel"/>
    <w:lvl w:ilvl="0" w:tentative="1">
      <w:start w:val="1"/>
      <w:numFmt w:val="decimal"/>
      <w:lvlText w:val="%1."/>
      <w:lvlJc w:val="left"/>
      <w:pPr>
        <w:ind w:left="400" w:hanging="320"/>
      </w:pPr>
      <w:rPr>
        <w:b/>
        <w:bCs/>
        <w:color w:val="102838"/>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A33"/>
        <w:sz w:val="21"/>
        <w:szCs w:val="21"/>
        <w:lang w:val="en-GB"/>
      </w:rPr>
    </w:rPrDefault>
    <w:pPrDefault>
      <w:pPr>
        <w:spacing w:after="140" w:line="264"/>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keepLines/>
      <w:spacing w:after="160" w:before="360"/>
      <w:outlineLvl w:val="0"/>
    </w:pPr>
    <w:rPr>
      <w:rFonts w:ascii="Calibri" w:cs="Calibri" w:eastAsia="Calibri" w:hAnsi="Calibri"/>
      <w:b/>
      <w:bCs/>
      <w:color w:val="102838"/>
      <w:sz w:val="32"/>
      <w:szCs w:val="32"/>
    </w:rPr>
  </w:style>
  <w:style w:type="paragraph" w:styleId="Heading2">
    <w:name w:val="Heading 2"/>
    <w:basedOn w:val="Normal"/>
    <w:next w:val="Normal"/>
    <w:qFormat/>
    <w:pPr>
      <w:keepNext/>
      <w:keepLines/>
      <w:spacing w:after="100" w:before="260"/>
      <w:outlineLvl w:val="1"/>
    </w:pPr>
    <w:rPr>
      <w:rFonts w:ascii="Calibri" w:cs="Calibri" w:eastAsia="Calibri" w:hAnsi="Calibri"/>
      <w:b/>
      <w:bCs/>
      <w:color w:val="102838"/>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7beojbh3o0hxpft5gdfsj" Type="http://schemas.openxmlformats.org/officeDocument/2006/relationships/hyperlink" Target="https://sovereignsecure.co.uk/" TargetMode="External"/><Relationship Id="rIdea7hrqpsv1-qtwdx-1yom" Type="http://schemas.openxmlformats.org/officeDocument/2006/relationships/hyperlink" Target="https://sovereignsecure.co.uk/business-continuity-plan-template/" TargetMode="External"/><Relationship Id="rIdr3uqd1x88u6zlmqq2g5ft" Type="http://schemas.openxmlformats.org/officeDocument/2006/relationships/hyperlink" Target="https://www.iso.org/standard/75106.html" TargetMode="External"/><Relationship Id="rIdgldmyxvzxdlz1kcovlhhg" Type="http://schemas.openxmlformats.org/officeDocument/2006/relationships/hyperlink" Target="https://sovereignsecure.co.uk/business-continuity-plan-template/" TargetMode="External"/><Relationship Id="rIdq8ynphltdyd2jrgdn5lkd" Type="http://schemas.openxmlformats.org/officeDocument/2006/relationships/hyperlink" Target="https://sovereignsecure.co.uk/incident-response-plan-template/" TargetMode="External"/><Relationship Id="rIdaqx_g8tyskdhrcu2h5pri" Type="http://schemas.openxmlformats.org/officeDocument/2006/relationships/hyperlink" Target="https://www.ncsc.gov.uk/section/exercise-in-a-box/overview" TargetMode="External"/><Relationship Id="rId15" Type="http://schemas.openxmlformats.org/officeDocument/2006/relationships/image" Target="media/728fc2a3bf8c8af21db16c83d499e1c1a95b6c0f.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Continuity Plan Template</dc:title>
  <dc:subject>Business continuity plan template aligned to ISO 22301:2019</dc:subject>
  <dc:creator>Sovereign Secure Ltd</dc:creator>
  <cp:keywords>business continuity plan template, BCP template, business impact analysis, RTO, RPO, ISO 22301</cp:keywords>
  <dc:description>Free business continuity plan template from sovereignsecure.co.uk, version October 2026.</dc:description>
  <cp:lastModifiedBy>Sovereign Secure Ltd</cp:lastModifiedBy>
  <cp:revision>1</cp:revision>
  <dcterms:created xsi:type="dcterms:W3CDTF">2026-10-13T11:19:22.217Z</dcterms:created>
  <dcterms:modified xsi:type="dcterms:W3CDTF">2026-10-13T11:19:22.218Z</dcterms:modified>
</cp:coreProperties>
</file>

<file path=docProps/custom.xml><?xml version="1.0" encoding="utf-8"?>
<Properties xmlns="http://schemas.openxmlformats.org/officeDocument/2006/custom-properties" xmlns:vt="http://schemas.openxmlformats.org/officeDocument/2006/docPropsVTypes"/>
</file>