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0"/>
      </w:pPr>
      <w:r>
        <w:drawing>
          <wp:inline distT="0" distB="0" distL="0" distR="0">
            <wp:extent cx="2095500" cy="552450"/>
            <wp:effectExtent t="0" r="0" b="0" l="0"/>
            <wp:docPr id="1" name="Sovereign Secure logo" descr="Sovereign Secure logo" title="Sovereign Se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p>
      <w:pPr>
        <w:spacing w:after="80"/>
      </w:pPr>
      <w:r>
        <w:rPr>
          <w:b/>
          <w:bCs/>
          <w:color w:val="E02840"/>
          <w:spacing w:val="20"/>
          <w:sz w:val="20"/>
          <w:szCs w:val="20"/>
        </w:rPr>
        <w:t xml:space="preserve">FREE ISO 27001 TOOLKIT</w:t>
      </w:r>
    </w:p>
    <w:p>
      <w:pPr>
        <w:spacing w:after="120"/>
      </w:pPr>
      <w:r>
        <w:rPr>
          <w:b/>
          <w:bCs/>
          <w:color w:val="102838"/>
          <w:sz w:val="52"/>
          <w:szCs w:val="52"/>
        </w:rPr>
        <w:t xml:space="preserve">Acceptable Use Policy Template</w:t>
      </w:r>
    </w:p>
    <w:p>
      <w:pPr>
        <w:spacing w:after="120"/>
      </w:pPr>
      <w:r>
        <w:rPr>
          <w:color w:val="5B6770"/>
          <w:sz w:val="24"/>
          <w:szCs w:val="24"/>
        </w:rPr>
        <w:t xml:space="preserve">A topic-specific policy for ISO/IEC 27001:2022, supporting Annex A control 5.10 and the people and device controls that rely on it</w:t>
      </w:r>
    </w:p>
    <w:p>
      <w:pPr>
        <w:pBdr>
          <w:bottom w:val="single" w:color="E02840" w:sz="18" w:space="1"/>
        </w:pBdr>
        <w:spacing w:after="240" w:before="0"/>
      </w:pPr>
    </w:p>
    <w:p>
      <w:pPr>
        <w:spacing w:after="60"/>
      </w:pPr>
      <w:r>
        <w:rPr>
          <w:b/>
          <w:bCs/>
          <w:color w:val="E02840"/>
        </w:rPr>
        <w:t xml:space="preserve">Version  </w:t>
      </w:r>
      <w:r>
        <w:t xml:space="preserve">October 2026</w:t>
      </w:r>
    </w:p>
    <w:p>
      <w:pPr>
        <w:spacing w:after="60"/>
      </w:pPr>
      <w:r>
        <w:rPr>
          <w:b/>
          <w:bCs/>
          <w:color w:val="E02840"/>
        </w:rPr>
        <w:t xml:space="preserve">Published by  </w:t>
      </w:r>
      <w:r>
        <w:t xml:space="preserve">Sovereign Secure Ltd, </w:t>
      </w:r>
      <w:hyperlink w:history="1" r:id="rIdx2awmyrb__n6zncpuqpz5">
        <w:r>
          <w:rPr>
            <w:rStyle w:val="Hyperlink"/>
          </w:rPr>
          <w:t xml:space="preserve">sovereignsecure.co.uk</w:t>
        </w:r>
      </w:hyperlink>
    </w:p>
    <w:p>
      <w:pPr>
        <w:spacing w:after="360"/>
      </w:pPr>
      <w:r>
        <w:rPr>
          <w:b/>
          <w:bCs/>
          <w:color w:val="E02840"/>
        </w:rPr>
        <w:t xml:space="preserve">Help  </w:t>
      </w:r>
      <w:r>
        <w:t xml:space="preserve">+44 161 523 5276  |  contactus@sovereignsecure.co.uk</w:t>
      </w:r>
    </w:p>
    <w:p>
      <w:pPr>
        <w:pStyle w:val="Heading1"/>
      </w:pPr>
      <w:r>
        <w:t xml:space="preserve">About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it is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free, editable acceptable use policy for small and mid-sized organisations working towards ISO/IEC 27001:2022. Written for staff and contractors to read, it sets out how to use company information, accounts, devices, email, cloud services and AI tools safely, what is not allowed, and what the organisation monitors. It is one of the topic-specific policies that Annex A control 5.1 expects, and comes with an acknowledgement form. It accompanies our free ISO 27001 toolkit at </w:t>
            </w:r>
            <w:hyperlink w:history="1" r:id="rIdcgw6z3ay7kp5zcyyxr3td">
              <w:r>
                <w:rPr>
                  <w:rStyle w:val="Hyperlink"/>
                  <w:sz w:val="20"/>
                  <w:szCs w:val="20"/>
                </w:rPr>
                <w:t xml:space="preserve">sovereignsecure.co.uk/iso-27001-policy-templates/</w:t>
              </w:r>
            </w:hyperlink>
            <w:r>
              <w:rPr>
                <w:sz w:val="20"/>
                <w:szCs w:val="20"/>
              </w:rPr>
              <w:t xml:space="preserve">.</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is inside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Part A: acceptable use policy template, with document control</w:t>
            </w:r>
          </w:p>
          <w:p>
            <w:pPr>
              <w:spacing w:after="60" w:before="0"/>
            </w:pPr>
            <w:r>
              <w:rPr>
                <w:sz w:val="20"/>
                <w:szCs w:val="20"/>
              </w:rPr>
              <w:t xml:space="preserve">Part B: the Annex A controls this policy supports, section by section</w:t>
            </w:r>
          </w:p>
          <w:p>
            <w:pPr>
              <w:spacing w:after="60" w:before="0"/>
            </w:pPr>
            <w:r>
              <w:rPr>
                <w:sz w:val="20"/>
                <w:szCs w:val="20"/>
              </w:rPr>
              <w:t xml:space="preserve">Part C: evidence auditors ask for, and checks before you approve</w:t>
            </w:r>
          </w:p>
          <w:p>
            <w:pPr>
              <w:spacing w:after="60" w:before="0"/>
            </w:pPr>
            <w:r>
              <w:rPr>
                <w:sz w:val="20"/>
                <w:szCs w:val="20"/>
              </w:rPr>
              <w:t xml:space="preserve">Appendix A: user acknowledgement form</w:t>
            </w:r>
          </w:p>
          <w:p>
            <w:pPr>
              <w:spacing w:after="60" w:before="0"/>
            </w:pPr>
            <w:r>
              <w:rPr>
                <w:sz w:val="20"/>
                <w:szCs w:val="20"/>
              </w:rPr>
              <w:t xml:space="preserve">Appendix B: acknowledgement record</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Annex A controls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5.10 Acceptable use of information and other associated assets</w:t>
            </w:r>
          </w:p>
          <w:p>
            <w:pPr>
              <w:spacing w:after="60" w:before="0"/>
            </w:pPr>
            <w:r>
              <w:rPr>
                <w:sz w:val="20"/>
                <w:szCs w:val="20"/>
              </w:rPr>
              <w:t xml:space="preserve">It also sets user rules that support 5.11 to 5.14, 5.17, 5.23, 5.32, 5.34, 6.3 to 6.8, 7.7, 7.9, 7.10, 7.14, 8.1, 8.7, 8.16, 8.19 and 8.23 (see Part B).</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Related templates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is a topic-specific policy under the information security policy that clause 5.2 requires. The same toolkit has a free information security policy template and access control, supplier security and cryptography policy templates in the same format.</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Version</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October 2026. Clause and control numbers refer to ISO/IEC 27001:2022 and ISO/IEC 27002:2022.</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The standard</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template does not reproduce ISO/IEC 27001 or ISO/IEC 27002; control numbers and titles are given for reference only. The official text is available from ISO (</w:t>
            </w:r>
            <w:hyperlink w:history="1" r:id="rIdepymvgkclnlzi7yoieztp">
              <w:r>
                <w:rPr>
                  <w:rStyle w:val="Hyperlink"/>
                  <w:sz w:val="20"/>
                  <w:szCs w:val="20"/>
                </w:rPr>
                <w:t xml:space="preserve">iso.org/standard/27001</w:t>
              </w:r>
            </w:hyperlink>
            <w:r>
              <w:rPr>
                <w:sz w:val="20"/>
                <w:szCs w:val="20"/>
              </w:rPr>
              <w:t xml:space="preserve">) or a national standards body such as BSI.</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Licence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Free to use and adapt within your organisation.</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Not audit evidence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template is a drafting aid, not evidence. Certification auditors test your policies against your scope, your risk assessment, your Statement of Applicability and your records, so templates alone will not get you certified.</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Getting help</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For help tailoring the full policy set, use the enquiry form on </w:t>
            </w:r>
            <w:hyperlink w:history="1" w:anchor="enquire" r:id="rIdsjnxg9dmbwl5dhg3soguz">
              <w:r>
                <w:rPr>
                  <w:rStyle w:val="Hyperlink"/>
                  <w:sz w:val="20"/>
                  <w:szCs w:val="20"/>
                </w:rPr>
                <w:t xml:space="preserve">our ISO 27001 policy templates page</w:t>
              </w:r>
            </w:hyperlink>
            <w:r>
              <w:rPr>
                <w:sz w:val="20"/>
                <w:szCs w:val="20"/>
              </w:rPr>
              <w:t xml:space="preserve">, which is already set to ISO 27001, or call +44 161 523 5276. Sovereign Secure Ltd is ISO 27001 certified and provides ISO 27001 consultancy; certification audits are carried out by our partner, the independent certification body MQA International.</w:t>
            </w:r>
          </w:p>
        </w:tc>
      </w:tr>
    </w:tbl>
    <w:p>
      <w:pPr>
        <w:pStyle w:val="Heading1"/>
        <w:pageBreakBefore/>
      </w:pPr>
      <w:r>
        <w:t xml:space="preserve">How to use this template</w:t>
      </w:r>
    </w:p>
    <w:p>
      <w:pPr>
        <w:pStyle w:val="ListParagraph"/>
        <w:numPr>
          <w:ilvl w:val="0"/>
          <w:numId w:val="2"/>
        </w:numPr>
        <w:spacing w:after="90"/>
      </w:pPr>
      <w:r>
        <w:t xml:space="preserve">Copy Part A into your own document, replace everything in </w:t>
      </w:r>
      <w:r>
        <w:rPr>
          <w:highlight w:val="yellow"/>
        </w:rPr>
        <w:t xml:space="preserve">[square brackets]</w:t>
      </w:r>
      <w:r>
        <w:t xml:space="preserve"> and remove anything that does not apply. Placeholders are highlighted so none are missed; remove the highlight once each is filled in.</w:t>
      </w:r>
    </w:p>
    <w:p>
      <w:pPr>
        <w:pStyle w:val="ListParagraph"/>
        <w:numPr>
          <w:ilvl w:val="0"/>
          <w:numId w:val="2"/>
        </w:numPr>
        <w:spacing w:after="90"/>
      </w:pPr>
      <w:r>
        <w:t xml:space="preserve">Check the policy against your Statement of Applicability. Keep the rules for controls you have included, and delete rules that only serve controls you have excluded.</w:t>
      </w:r>
    </w:p>
    <w:p>
      <w:pPr>
        <w:pStyle w:val="ListParagraph"/>
        <w:numPr>
          <w:ilvl w:val="0"/>
          <w:numId w:val="2"/>
        </w:numPr>
        <w:spacing w:after="90"/>
      </w:pPr>
      <w:r>
        <w:t xml:space="preserve">Write it for the people who must follow it. Keep sentences short, use "you", and give the real names of tools and contacts so people know exactly what to use and whom to call.</w:t>
      </w:r>
    </w:p>
    <w:p>
      <w:pPr>
        <w:pStyle w:val="ListParagraph"/>
        <w:numPr>
          <w:ilvl w:val="0"/>
          <w:numId w:val="2"/>
        </w:numPr>
        <w:spacing w:after="90"/>
      </w:pPr>
      <w:r>
        <w:t xml:space="preserve">Make sure the monitoring section (section 14) matches what you actually monitor and your privacy notice for staff. Under UK GDPR, monitoring workers must be lawful, fair and transparent; the ICO's guidance on monitoring workers (</w:t>
      </w:r>
      <w:hyperlink w:history="1" r:id="rIdh45n3orlfv2suzqvjmuid">
        <w:r>
          <w:rPr>
            <w:rStyle w:val="Hyperlink"/>
          </w:rPr>
          <w:t xml:space="preserve">ico.org.uk</w:t>
        </w:r>
      </w:hyperlink>
      <w:r>
        <w:t xml:space="preserve">) explains what that means in practice.</w:t>
      </w:r>
    </w:p>
    <w:p>
      <w:pPr>
        <w:pStyle w:val="ListParagraph"/>
        <w:numPr>
          <w:ilvl w:val="0"/>
          <w:numId w:val="2"/>
        </w:numPr>
        <w:spacing w:after="90"/>
      </w:pPr>
      <w:r>
        <w:t xml:space="preserve">Delete the guidance notes, these instructions, Parts B and C and the Sovereign Secure footer before you issue the policy. Keep any appendices you use as working records.</w:t>
      </w:r>
    </w:p>
    <w:p>
      <w:pPr>
        <w:pStyle w:val="Heading2"/>
      </w:pPr>
      <w:r>
        <w:t xml:space="preserve">Tailoring steps</w:t>
      </w:r>
    </w:p>
    <w:p>
      <w:pPr>
        <w:pStyle w:val="ListParagraph"/>
        <w:numPr>
          <w:ilvl w:val="0"/>
          <w:numId w:val="3"/>
        </w:numPr>
        <w:spacing w:after="90"/>
      </w:pPr>
      <w:r>
        <w:rPr>
          <w:b/>
          <w:bCs/>
        </w:rPr>
        <w:t xml:space="preserve">List the tools people actually use</w:t>
      </w:r>
      <w:r>
        <w:t xml:space="preserve"> for email, chat, file sharing, video calls and AI assistance, and name the approved ones in the policy.</w:t>
      </w:r>
    </w:p>
    <w:p>
      <w:pPr>
        <w:pStyle w:val="ListParagraph"/>
        <w:numPr>
          <w:ilvl w:val="0"/>
          <w:numId w:val="3"/>
        </w:numPr>
        <w:spacing w:after="90"/>
      </w:pPr>
      <w:r>
        <w:rPr>
          <w:b/>
          <w:bCs/>
        </w:rPr>
        <w:t xml:space="preserve">Decide on personal use</w:t>
      </w:r>
      <w:r>
        <w:t xml:space="preserve"> of company devices and on using personal devices for work, and write down the conditions.</w:t>
      </w:r>
    </w:p>
    <w:p>
      <w:pPr>
        <w:pStyle w:val="ListParagraph"/>
        <w:numPr>
          <w:ilvl w:val="0"/>
          <w:numId w:val="3"/>
        </w:numPr>
        <w:spacing w:after="90"/>
      </w:pPr>
      <w:r>
        <w:rPr>
          <w:b/>
          <w:bCs/>
        </w:rPr>
        <w:t xml:space="preserve">Check the monitoring section with HR and your data protection lead,</w:t>
      </w:r>
      <w:r>
        <w:t xml:space="preserve"> and carry out a data protection impact assessment where monitoring is likely to be high risk.</w:t>
      </w:r>
    </w:p>
    <w:p>
      <w:pPr>
        <w:pStyle w:val="ListParagraph"/>
        <w:numPr>
          <w:ilvl w:val="0"/>
          <w:numId w:val="3"/>
        </w:numPr>
        <w:spacing w:after="90"/>
      </w:pPr>
      <w:r>
        <w:rPr>
          <w:b/>
          <w:bCs/>
        </w:rPr>
        <w:t xml:space="preserve">Agree the policy with HR,</w:t>
      </w:r>
      <w:r>
        <w:t xml:space="preserve"> so it forms part of the terms of employment and the disciplinary procedure refers to it (6.2, 6.4).</w:t>
      </w:r>
    </w:p>
    <w:p>
      <w:pPr>
        <w:pStyle w:val="ListParagraph"/>
        <w:numPr>
          <w:ilvl w:val="0"/>
          <w:numId w:val="3"/>
        </w:numPr>
        <w:spacing w:after="90"/>
      </w:pPr>
      <w:r>
        <w:rPr>
          <w:b/>
          <w:bCs/>
        </w:rPr>
        <w:t xml:space="preserve">Approve and communicate it,</w:t>
      </w:r>
      <w:r>
        <w:t xml:space="preserve"> and collect an acknowledgement from everyone in scope, including contractors and temporary staff (Appendix A).</w:t>
      </w:r>
    </w:p>
    <w:p>
      <w:pPr>
        <w:pStyle w:val="ListParagraph"/>
        <w:numPr>
          <w:ilvl w:val="0"/>
          <w:numId w:val="3"/>
        </w:numPr>
        <w:spacing w:after="90"/>
      </w:pPr>
      <w:r>
        <w:rPr>
          <w:b/>
          <w:bCs/>
        </w:rPr>
        <w:t xml:space="preserve">Build it into onboarding and annual awareness training</w:t>
      </w:r>
      <w:r>
        <w:t xml:space="preserve"> (6.3), and record completion.</w:t>
      </w:r>
    </w:p>
    <w:p>
      <w:pPr>
        <w:pStyle w:val="ListParagraph"/>
        <w:numPr>
          <w:ilvl w:val="0"/>
          <w:numId w:val="3"/>
        </w:numPr>
        <w:spacing w:after="90"/>
      </w:pPr>
      <w:r>
        <w:rPr>
          <w:b/>
          <w:bCs/>
        </w:rPr>
        <w:t xml:space="preserve">Put it under document control</w:t>
      </w:r>
      <w:r>
        <w:t xml:space="preserve"> (clause 7.5) with an owner, version and review date, and add it to your document register.</w:t>
      </w:r>
    </w:p>
    <w:p>
      <w:pPr>
        <w:spacing w:after="140" w:before="120"/>
      </w:pPr>
      <w:r>
        <w:t xml:space="preserve">If personal data is in scope, your policies also help show the appropriate security that UK GDPR expects; the ICO's </w:t>
      </w:r>
      <w:hyperlink w:history="1" r:id="rIdpomtbalbhne8atdfz9m-p">
        <w:r>
          <w:rPr>
            <w:rStyle w:val="Hyperlink"/>
          </w:rPr>
          <w:t xml:space="preserve">guide to data security</w:t>
        </w:r>
      </w:hyperlink>
      <w:r>
        <w:t xml:space="preserve"> explains what it looks for.</w:t>
      </w:r>
    </w:p>
    <w:p>
      <w:pPr>
        <w:pStyle w:val="Heading1"/>
        <w:pageBreakBefore/>
      </w:pPr>
      <w:r>
        <w:t xml:space="preserve">Part A: Acceptable Use Policy template</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Guidance: </w:t>
      </w:r>
      <w:r>
        <w:t xml:space="preserve">Copy this into your own document, replace everything in </w:t>
      </w:r>
      <w:r>
        <w:rPr>
          <w:highlight w:val="yellow"/>
        </w:rPr>
        <w:t xml:space="preserve">[square brackets]</w:t>
      </w:r>
      <w:r>
        <w:t xml:space="preserve"> and remove anything that does not apply. Name your real systems, roles and timescales, and only write rules you can show are followed.</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Annex A 5.10: </w:t>
      </w:r>
      <w:r>
        <w:t xml:space="preserve">Rules for the acceptable use of information and other associated assets, and procedures for handling them, are identified, documented and put in place. ISO/IEC 27002 suggests the policy states expected and unacceptable behaviour, permitted and prohibited use, and the monitoring the organisation carries out, and that it is communicated to everyone who uses or handles the organisation's information.</w:t>
      </w:r>
    </w:p>
    <w:p>
      <w:pPr>
        <w:keepNext/>
        <w:spacing w:after="200" w:before="120"/>
      </w:pPr>
      <w:r>
        <w:rPr>
          <w:b/>
          <w:bCs/>
          <w:color w:val="102838"/>
          <w:sz w:val="32"/>
          <w:szCs w:val="32"/>
          <w:highlight w:val="yellow"/>
        </w:rPr>
        <w:t xml:space="preserve">[Organisation name]</w:t>
      </w:r>
      <w:r>
        <w:rPr>
          <w:b/>
          <w:bCs/>
          <w:color w:val="102838"/>
          <w:sz w:val="32"/>
          <w:szCs w:val="32"/>
        </w:rPr>
        <w:t xml:space="preserve"> Acceptable Use Policy</w:t>
      </w:r>
    </w:p>
    <w:p>
      <w:pPr>
        <w:pStyle w:val="Heading2"/>
      </w:pP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1900"/>
        <w:gridCol w:w="1600"/>
        <w:gridCol w:w="1600"/>
        <w:gridCol w:w="1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Approver</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c>
          <w:tcPr>
            <w:tcW w:type="dxa" w:w="1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Classification</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[x]</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[ISMS manager]</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 role]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[Internal]</w:t>
            </w:r>
          </w:p>
        </w:tc>
      </w:tr>
    </w:tbl>
    <w:p>
      <w:pPr>
        <w:spacing w:after="160" w:before="0"/>
      </w:pPr>
    </w:p>
    <w:p>
      <w:pPr>
        <w:keepNext/>
        <w:spacing w:after="80" w:before="0"/>
      </w:pPr>
      <w:r>
        <w:rPr>
          <w:b/>
          <w:bCs/>
        </w:rPr>
        <w:t xml:space="preserve">Version history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600"/>
        <w:gridCol w:w="2200"/>
        <w:gridCol w:w="4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Author</w:t>
            </w:r>
          </w:p>
        </w:tc>
        <w:tc>
          <w:tcPr>
            <w:tcW w:type="dxa" w:w="4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Summary of changes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[1.0]</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w:t>
            </w: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[First issue]</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1. Purpose</w:t>
      </w:r>
    </w:p>
    <w:p>
      <w:pPr>
        <w:pStyle w:val="ListParagraph"/>
        <w:numPr>
          <w:ilvl w:val="0"/>
          <w:numId w:val="2"/>
        </w:numPr>
        <w:spacing w:after="90"/>
      </w:pPr>
      <w:r>
        <w:t xml:space="preserve">This policy tells you how to use </w:t>
      </w:r>
      <w:r>
        <w:rPr>
          <w:highlight w:val="yellow"/>
        </w:rPr>
        <w:t xml:space="preserve">[Organisation name]</w:t>
      </w:r>
      <w:r>
        <w:t xml:space="preserve">'s information, accounts, devices and services safely and lawfully. It sets out what we expect, what is not allowed and what we monitor.</w:t>
      </w:r>
    </w:p>
    <w:p>
      <w:pPr>
        <w:pStyle w:val="ListParagraph"/>
        <w:numPr>
          <w:ilvl w:val="0"/>
          <w:numId w:val="2"/>
        </w:numPr>
        <w:spacing w:after="90"/>
      </w:pPr>
      <w:r>
        <w:t xml:space="preserve">It supports Annex A control 5.10 of ISO/IEC 27001:2022 and sits under our </w:t>
      </w:r>
      <w:r>
        <w:rPr>
          <w:highlight w:val="yellow"/>
        </w:rPr>
        <w:t xml:space="preserve">[Information Security Policy]</w:t>
      </w:r>
      <w:r>
        <w:t xml:space="preserve">.</w:t>
      </w:r>
    </w:p>
    <w:p>
      <w:pPr>
        <w:pStyle w:val="Heading2"/>
      </w:pPr>
      <w:r>
        <w:t xml:space="preserve">2. Who and what this policy covers</w:t>
      </w:r>
    </w:p>
    <w:p>
      <w:pPr>
        <w:pStyle w:val="ListParagraph"/>
        <w:numPr>
          <w:ilvl w:val="0"/>
          <w:numId w:val="2"/>
        </w:numPr>
        <w:spacing w:after="90"/>
      </w:pPr>
      <w:r>
        <w:t xml:space="preserve">It applies to everyone who uses our information or IT: employees, contractors, temporary staff, volunteers and </w:t>
      </w:r>
      <w:r>
        <w:rPr>
          <w:highlight w:val="yellow"/>
        </w:rPr>
        <w:t xml:space="preserve">[supplier personnel]</w:t>
      </w:r>
      <w:r>
        <w:t xml:space="preserve"> (together, "you").</w:t>
      </w:r>
    </w:p>
    <w:p>
      <w:pPr>
        <w:pStyle w:val="ListParagraph"/>
        <w:numPr>
          <w:ilvl w:val="0"/>
          <w:numId w:val="2"/>
        </w:numPr>
        <w:spacing w:after="90"/>
      </w:pPr>
      <w:r>
        <w:t xml:space="preserve">It covers all information we hold in any form, and all devices, accounts, networks, software and cloud services we provide, wherever you use them. It also covers personal devices when you use them for work.</w:t>
      </w:r>
    </w:p>
    <w:p>
      <w:pPr>
        <w:pStyle w:val="Heading2"/>
      </w:pPr>
      <w:r>
        <w:t xml:space="preserve">3. Your general responsibilities</w:t>
      </w:r>
    </w:p>
    <w:p>
      <w:pPr>
        <w:keepNext/>
        <w:spacing w:after="100" w:before="0"/>
      </w:pPr>
      <w:r>
        <w:rPr>
          <w:i/>
          <w:iCs/>
          <w:color w:val="5B6770"/>
          <w:sz w:val="18"/>
          <w:szCs w:val="18"/>
        </w:rPr>
        <w:t xml:space="preserve">Supports Annex A 5.10 Acceptable use of information and other associated assets; 5.12 Classification of information</w:t>
      </w:r>
    </w:p>
    <w:p>
      <w:pPr>
        <w:pStyle w:val="ListParagraph"/>
        <w:numPr>
          <w:ilvl w:val="0"/>
          <w:numId w:val="2"/>
        </w:numPr>
        <w:spacing w:after="90"/>
      </w:pPr>
      <w:r>
        <w:t xml:space="preserve">Use our information and IT for </w:t>
      </w:r>
      <w:r>
        <w:rPr>
          <w:highlight w:val="yellow"/>
        </w:rPr>
        <w:t xml:space="preserve">[Organisation name]</w:t>
      </w:r>
      <w:r>
        <w:t xml:space="preserve"> business. Limited personal use is allowed if it is </w:t>
      </w:r>
      <w:r>
        <w:rPr>
          <w:highlight w:val="yellow"/>
        </w:rPr>
        <w:t xml:space="preserve">[occasional and in your own time]</w:t>
      </w:r>
      <w:r>
        <w:t xml:space="preserve">, does not affect your work, is lawful and follows this policy.</w:t>
      </w:r>
    </w:p>
    <w:p>
      <w:pPr>
        <w:pStyle w:val="ListParagraph"/>
        <w:numPr>
          <w:ilvl w:val="0"/>
          <w:numId w:val="2"/>
        </w:numPr>
        <w:spacing w:after="90"/>
      </w:pPr>
      <w:r>
        <w:t xml:space="preserve">You are responsible for everything done with your accounts. Do not let anyone else use them.</w:t>
      </w:r>
    </w:p>
    <w:p>
      <w:pPr>
        <w:pStyle w:val="ListParagraph"/>
        <w:numPr>
          <w:ilvl w:val="0"/>
          <w:numId w:val="2"/>
        </w:numPr>
        <w:spacing w:after="90"/>
      </w:pPr>
      <w:r>
        <w:t xml:space="preserve">Handle information according to its classification and the rules in </w:t>
      </w:r>
      <w:r>
        <w:rPr>
          <w:highlight w:val="yellow"/>
        </w:rPr>
        <w:t xml:space="preserve">[Information Classification Policy]</w:t>
      </w:r>
      <w:r>
        <w:t xml:space="preserve"> (5.12, 5.13).</w:t>
      </w:r>
    </w:p>
    <w:p>
      <w:pPr>
        <w:pStyle w:val="ListParagraph"/>
        <w:numPr>
          <w:ilvl w:val="0"/>
          <w:numId w:val="2"/>
        </w:numPr>
        <w:spacing w:after="90"/>
      </w:pPr>
      <w:r>
        <w:t xml:space="preserve">If you are not sure whether something is allowed, ask </w:t>
      </w:r>
      <w:r>
        <w:rPr>
          <w:highlight w:val="yellow"/>
        </w:rPr>
        <w:t xml:space="preserve">[contact]</w:t>
      </w:r>
      <w:r>
        <w:t xml:space="preserve"> before you do it.</w:t>
      </w:r>
    </w:p>
    <w:p>
      <w:pPr>
        <w:pStyle w:val="Heading2"/>
      </w:pPr>
      <w:r>
        <w:t xml:space="preserve">4. What is never allowed</w:t>
      </w:r>
    </w:p>
    <w:p>
      <w:pPr>
        <w:keepNext/>
        <w:spacing w:after="100" w:before="0"/>
      </w:pPr>
      <w:r>
        <w:rPr>
          <w:i/>
          <w:iCs/>
          <w:color w:val="5B6770"/>
          <w:sz w:val="18"/>
          <w:szCs w:val="18"/>
        </w:rPr>
        <w:t xml:space="preserve">Supports Annex A 5.10 Acceptable use of information and other associated assets</w:t>
      </w:r>
    </w:p>
    <w:p>
      <w:pPr>
        <w:pStyle w:val="ListParagraph"/>
        <w:numPr>
          <w:ilvl w:val="0"/>
          <w:numId w:val="2"/>
        </w:numPr>
        <w:spacing w:after="90"/>
      </w:pPr>
      <w:r>
        <w:t xml:space="preserve">Do not access, or try to access, information or systems you have not been authorised to use.</w:t>
      </w:r>
    </w:p>
    <w:p>
      <w:pPr>
        <w:pStyle w:val="ListParagraph"/>
        <w:numPr>
          <w:ilvl w:val="0"/>
          <w:numId w:val="2"/>
        </w:numPr>
        <w:spacing w:after="90"/>
      </w:pPr>
      <w:r>
        <w:t xml:space="preserve">Do not try to get round security controls, for example by switching off security software or using personal VPNs, proxies or remote access tools.</w:t>
      </w:r>
    </w:p>
    <w:p>
      <w:pPr>
        <w:pStyle w:val="ListParagraph"/>
        <w:numPr>
          <w:ilvl w:val="0"/>
          <w:numId w:val="2"/>
        </w:numPr>
        <w:spacing w:after="90"/>
      </w:pPr>
      <w:r>
        <w:t xml:space="preserve">Do not scan, probe or test our systems or anyone else's for weaknesses unless that is your approved role.</w:t>
      </w:r>
    </w:p>
    <w:p>
      <w:pPr>
        <w:pStyle w:val="ListParagraph"/>
        <w:numPr>
          <w:ilvl w:val="0"/>
          <w:numId w:val="2"/>
        </w:numPr>
        <w:spacing w:after="90"/>
      </w:pPr>
      <w:r>
        <w:t xml:space="preserve">Do not install or run tools for hacking, password cracking, capturing network traffic or mining cryptocurrency.</w:t>
      </w:r>
    </w:p>
    <w:p>
      <w:pPr>
        <w:pStyle w:val="ListParagraph"/>
        <w:numPr>
          <w:ilvl w:val="0"/>
          <w:numId w:val="2"/>
        </w:numPr>
        <w:spacing w:after="90"/>
      </w:pPr>
      <w:r>
        <w:t xml:space="preserve">Do not access, store or send material that is illegal, offensive, discriminatory or harassing.</w:t>
      </w:r>
    </w:p>
    <w:p>
      <w:pPr>
        <w:pStyle w:val="ListParagraph"/>
        <w:numPr>
          <w:ilvl w:val="0"/>
          <w:numId w:val="2"/>
        </w:numPr>
        <w:spacing w:after="90"/>
      </w:pPr>
      <w:r>
        <w:t xml:space="preserve">Do not share, sell or disclose confidential or personal information without authority.</w:t>
      </w:r>
    </w:p>
    <w:p>
      <w:pPr>
        <w:pStyle w:val="ListParagraph"/>
        <w:numPr>
          <w:ilvl w:val="0"/>
          <w:numId w:val="2"/>
        </w:numPr>
        <w:spacing w:after="90"/>
      </w:pPr>
      <w:r>
        <w:t xml:space="preserve">Do not use our systems for a personal business, gambling or political campaigning.</w:t>
      </w:r>
    </w:p>
    <w:p>
      <w:pPr>
        <w:pStyle w:val="ListParagraph"/>
        <w:numPr>
          <w:ilvl w:val="0"/>
          <w:numId w:val="2"/>
        </w:numPr>
        <w:spacing w:after="90"/>
      </w:pPr>
      <w:r>
        <w:t xml:space="preserve">Do not do anything that breaks the law, including the Computer Misuse Act 1990, UK GDPR, the Data Protection Act 2018 and copyright law.</w:t>
      </w:r>
    </w:p>
    <w:p>
      <w:pPr>
        <w:pStyle w:val="Heading2"/>
      </w:pPr>
      <w:r>
        <w:t xml:space="preserve">5. Accounts and passwords</w:t>
      </w:r>
    </w:p>
    <w:p>
      <w:pPr>
        <w:keepNext/>
        <w:spacing w:after="100" w:before="0"/>
      </w:pPr>
      <w:r>
        <w:rPr>
          <w:i/>
          <w:iCs/>
          <w:color w:val="5B6770"/>
          <w:sz w:val="18"/>
          <w:szCs w:val="18"/>
        </w:rPr>
        <w:t xml:space="preserve">Supports Annex A 5.17 Authentication information</w:t>
      </w:r>
    </w:p>
    <w:p>
      <w:pPr>
        <w:pStyle w:val="ListParagraph"/>
        <w:numPr>
          <w:ilvl w:val="0"/>
          <w:numId w:val="2"/>
        </w:numPr>
        <w:spacing w:after="90"/>
      </w:pPr>
      <w:r>
        <w:t xml:space="preserve">Keep your passwords, PINs and MFA methods to yourself. Never share them, even with colleagues or IT staff. </w:t>
      </w:r>
      <w:r>
        <w:rPr>
          <w:highlight w:val="yellow"/>
        </w:rPr>
        <w:t xml:space="preserve">[IT]</w:t>
      </w:r>
      <w:r>
        <w:t xml:space="preserve"> will never ask for your password or an MFA code.</w:t>
      </w:r>
    </w:p>
    <w:p>
      <w:pPr>
        <w:pStyle w:val="ListParagraph"/>
        <w:numPr>
          <w:ilvl w:val="0"/>
          <w:numId w:val="2"/>
        </w:numPr>
        <w:spacing w:after="90"/>
      </w:pPr>
      <w:r>
        <w:t xml:space="preserve">Use </w:t>
      </w:r>
      <w:r>
        <w:rPr>
          <w:highlight w:val="yellow"/>
        </w:rPr>
        <w:t xml:space="preserve">[password manager]</w:t>
      </w:r>
      <w:r>
        <w:t xml:space="preserve"> and a different password for every work account. Never use a work password for a personal account.</w:t>
      </w:r>
    </w:p>
    <w:p>
      <w:pPr>
        <w:pStyle w:val="ListParagraph"/>
        <w:numPr>
          <w:ilvl w:val="0"/>
          <w:numId w:val="2"/>
        </w:numPr>
        <w:spacing w:after="90"/>
      </w:pPr>
      <w:r>
        <w:t xml:space="preserve">Approve an MFA request only when you have just tried to sign in yourself. Report unexpected MFA prompts to </w:t>
      </w:r>
      <w:r>
        <w:rPr>
          <w:highlight w:val="yellow"/>
        </w:rPr>
        <w:t xml:space="preserve">[contact]</w:t>
      </w:r>
      <w:r>
        <w:t xml:space="preserve">.</w:t>
      </w:r>
    </w:p>
    <w:p>
      <w:pPr>
        <w:pStyle w:val="ListParagraph"/>
        <w:numPr>
          <w:ilvl w:val="0"/>
          <w:numId w:val="2"/>
        </w:numPr>
        <w:spacing w:after="90"/>
      </w:pPr>
      <w:r>
        <w:t xml:space="preserve">If you think someone else knows your password, change it straight away and tell </w:t>
      </w:r>
      <w:r>
        <w:rPr>
          <w:highlight w:val="yellow"/>
        </w:rPr>
        <w:t xml:space="preserve">[contact]</w:t>
      </w:r>
      <w:r>
        <w:t xml:space="preserve">.</w:t>
      </w:r>
    </w:p>
    <w:p>
      <w:pPr>
        <w:pStyle w:val="Heading2"/>
      </w:pPr>
      <w:r>
        <w:t xml:space="preserve">6. Devices</w:t>
      </w:r>
    </w:p>
    <w:p>
      <w:pPr>
        <w:keepNext/>
        <w:spacing w:after="100" w:before="0"/>
      </w:pPr>
      <w:r>
        <w:rPr>
          <w:i/>
          <w:iCs/>
          <w:color w:val="5B6770"/>
          <w:sz w:val="18"/>
          <w:szCs w:val="18"/>
        </w:rPr>
        <w:t xml:space="preserve">Supports Annex A 8.1 User endpoint devices; 7.7 Clear desk and clear screen; 7.9 Security of assets off-premises; 8.7 Protection against malware</w:t>
      </w:r>
    </w:p>
    <w:p>
      <w:pPr>
        <w:pStyle w:val="ListParagraph"/>
        <w:numPr>
          <w:ilvl w:val="0"/>
          <w:numId w:val="2"/>
        </w:numPr>
        <w:spacing w:after="90"/>
      </w:pPr>
      <w:r>
        <w:t xml:space="preserve">Use only devices issued or approved by </w:t>
      </w:r>
      <w:r>
        <w:rPr>
          <w:highlight w:val="yellow"/>
        </w:rPr>
        <w:t xml:space="preserve">[IT]</w:t>
      </w:r>
      <w:r>
        <w:t xml:space="preserve"> for work. Do not change or switch off security settings, encryption, updates or anti-malware software.</w:t>
      </w:r>
    </w:p>
    <w:p>
      <w:pPr>
        <w:pStyle w:val="ListParagraph"/>
        <w:numPr>
          <w:ilvl w:val="0"/>
          <w:numId w:val="2"/>
        </w:numPr>
        <w:spacing w:after="90"/>
      </w:pPr>
      <w:r>
        <w:t xml:space="preserve">Lock your screen whenever you leave your device (Windows key + L, or Control + Command + Q on a Mac). Devices also lock automatically after </w:t>
      </w:r>
      <w:r>
        <w:rPr>
          <w:highlight w:val="yellow"/>
        </w:rPr>
        <w:t xml:space="preserve">[5]</w:t>
      </w:r>
      <w:r>
        <w:t xml:space="preserve"> minutes.</w:t>
      </w:r>
    </w:p>
    <w:p>
      <w:pPr>
        <w:pStyle w:val="ListParagraph"/>
        <w:numPr>
          <w:ilvl w:val="0"/>
          <w:numId w:val="2"/>
        </w:numPr>
        <w:spacing w:after="90"/>
      </w:pPr>
      <w:r>
        <w:t xml:space="preserve">Keep devices with you or locked away. Do not leave them in a car or unattended in public places.</w:t>
      </w:r>
    </w:p>
    <w:p>
      <w:pPr>
        <w:pStyle w:val="ListParagraph"/>
        <w:numPr>
          <w:ilvl w:val="0"/>
          <w:numId w:val="2"/>
        </w:numPr>
        <w:spacing w:after="90"/>
      </w:pPr>
      <w:r>
        <w:t xml:space="preserve">Report a lost or stolen device to </w:t>
      </w:r>
      <w:r>
        <w:rPr>
          <w:highlight w:val="yellow"/>
        </w:rPr>
        <w:t xml:space="preserve">[contact and phone number]</w:t>
      </w:r>
      <w:r>
        <w:t xml:space="preserve"> straight away, day or night, so it can be locked or wiped.</w:t>
      </w:r>
    </w:p>
    <w:p>
      <w:pPr>
        <w:pStyle w:val="ListParagraph"/>
        <w:numPr>
          <w:ilvl w:val="0"/>
          <w:numId w:val="2"/>
        </w:numPr>
        <w:spacing w:after="90"/>
      </w:pPr>
      <w:r>
        <w:t xml:space="preserve">You may use a personal device for </w:t>
      </w:r>
      <w:r>
        <w:rPr>
          <w:highlight w:val="yellow"/>
        </w:rPr>
        <w:t xml:space="preserve">[email, chat and documents]</w:t>
      </w:r>
      <w:r>
        <w:t xml:space="preserve"> only if it is enrolled in </w:t>
      </w:r>
      <w:r>
        <w:rPr>
          <w:highlight w:val="yellow"/>
        </w:rPr>
        <w:t xml:space="preserve">[device management or app protection]</w:t>
      </w:r>
      <w:r>
        <w:t xml:space="preserve">, runs a supported operating system with updates applied, and has a screen lock. We may remove company data from it.</w:t>
      </w:r>
    </w:p>
    <w:p>
      <w:pPr>
        <w:pStyle w:val="ListParagraph"/>
        <w:numPr>
          <w:ilvl w:val="0"/>
          <w:numId w:val="2"/>
        </w:numPr>
        <w:spacing w:after="90"/>
      </w:pPr>
      <w:r>
        <w:t xml:space="preserve">Do not connect unknown USB devices, or devices you have found or been given at events, to our equipment.</w:t>
      </w:r>
    </w:p>
    <w:p>
      <w:pPr>
        <w:pStyle w:val="Heading2"/>
      </w:pPr>
      <w:r>
        <w:t xml:space="preserve">7. Software, cloud services and AI tools</w:t>
      </w:r>
    </w:p>
    <w:p>
      <w:pPr>
        <w:keepNext/>
        <w:spacing w:after="100" w:before="0"/>
      </w:pPr>
      <w:r>
        <w:rPr>
          <w:i/>
          <w:iCs/>
          <w:color w:val="5B6770"/>
          <w:sz w:val="18"/>
          <w:szCs w:val="18"/>
        </w:rPr>
        <w:t xml:space="preserve">Supports Annex A 8.19 Installation of software on operational systems; 5.23 Information security for use of cloud services; 5.32 Intellectual property rights</w:t>
      </w:r>
    </w:p>
    <w:p>
      <w:pPr>
        <w:pStyle w:val="ListParagraph"/>
        <w:numPr>
          <w:ilvl w:val="0"/>
          <w:numId w:val="2"/>
        </w:numPr>
        <w:spacing w:after="90"/>
      </w:pPr>
      <w:r>
        <w:t xml:space="preserve">Install only software approved by </w:t>
      </w:r>
      <w:r>
        <w:rPr>
          <w:highlight w:val="yellow"/>
        </w:rPr>
        <w:t xml:space="preserve">[IT]</w:t>
      </w:r>
      <w:r>
        <w:t xml:space="preserve">, from </w:t>
      </w:r>
      <w:r>
        <w:rPr>
          <w:highlight w:val="yellow"/>
        </w:rPr>
        <w:t xml:space="preserve">[the company portal or approved app store]</w:t>
      </w:r>
      <w:r>
        <w:t xml:space="preserve">. Do not use unlicensed or pirated software (5.32).</w:t>
      </w:r>
    </w:p>
    <w:p>
      <w:pPr>
        <w:pStyle w:val="ListParagraph"/>
        <w:numPr>
          <w:ilvl w:val="0"/>
          <w:numId w:val="2"/>
        </w:numPr>
        <w:spacing w:after="90"/>
      </w:pPr>
      <w:r>
        <w:t xml:space="preserve">Use only the cloud services and apps listed in </w:t>
      </w:r>
      <w:r>
        <w:rPr>
          <w:highlight w:val="yellow"/>
        </w:rPr>
        <w:t xml:space="preserve">[approved software list]</w:t>
      </w:r>
      <w:r>
        <w:t xml:space="preserve"> for work information. Ask </w:t>
      </w:r>
      <w:r>
        <w:rPr>
          <w:highlight w:val="yellow"/>
        </w:rPr>
        <w:t xml:space="preserve">[IT]</w:t>
      </w:r>
      <w:r>
        <w:t xml:space="preserve"> before signing up to any new service, including free trials.</w:t>
      </w:r>
    </w:p>
    <w:p>
      <w:pPr>
        <w:pStyle w:val="ListParagraph"/>
        <w:numPr>
          <w:ilvl w:val="0"/>
          <w:numId w:val="2"/>
        </w:numPr>
        <w:spacing w:after="90"/>
      </w:pPr>
      <w:r>
        <w:t xml:space="preserve">Use only the AI tools listed in </w:t>
      </w:r>
      <w:r>
        <w:rPr>
          <w:highlight w:val="yellow"/>
        </w:rPr>
        <w:t xml:space="preserve">[approved AI tools list]</w:t>
      </w:r>
      <w:r>
        <w:t xml:space="preserve">, and do not enter confidential or personal information into any AI tool that has not been approved for that use.</w:t>
      </w:r>
    </w:p>
    <w:p>
      <w:pPr>
        <w:pStyle w:val="ListParagraph"/>
        <w:numPr>
          <w:ilvl w:val="0"/>
          <w:numId w:val="2"/>
        </w:numPr>
        <w:spacing w:after="90"/>
      </w:pPr>
      <w:r>
        <w:t xml:space="preserve">Check the output of AI tools before you rely on it or share it, and do not present it as checked fact when it has not been checked.</w:t>
      </w:r>
    </w:p>
    <w:p>
      <w:pPr>
        <w:pStyle w:val="Heading2"/>
      </w:pPr>
      <w:r>
        <w:t xml:space="preserve">8. Email, messaging and the internet</w:t>
      </w:r>
    </w:p>
    <w:p>
      <w:pPr>
        <w:keepNext/>
        <w:spacing w:after="100" w:before="0"/>
      </w:pPr>
      <w:r>
        <w:rPr>
          <w:i/>
          <w:iCs/>
          <w:color w:val="5B6770"/>
          <w:sz w:val="18"/>
          <w:szCs w:val="18"/>
        </w:rPr>
        <w:t xml:space="preserve">Supports Annex A 8.7 Protection against malware; 8.23 Web filtering; 5.14 Information transfer</w:t>
      </w:r>
    </w:p>
    <w:p>
      <w:pPr>
        <w:pStyle w:val="ListParagraph"/>
        <w:numPr>
          <w:ilvl w:val="0"/>
          <w:numId w:val="2"/>
        </w:numPr>
        <w:spacing w:after="90"/>
      </w:pPr>
      <w:r>
        <w:t xml:space="preserve">Be wary of unexpected emails, messages and calls, especially those asking you to click a link, open an attachment, enter a password or make a payment. Report suspicious messages using </w:t>
      </w:r>
      <w:r>
        <w:rPr>
          <w:highlight w:val="yellow"/>
        </w:rPr>
        <w:t xml:space="preserve">[report button or address]</w:t>
      </w:r>
      <w:r>
        <w:t xml:space="preserve">.</w:t>
      </w:r>
    </w:p>
    <w:p>
      <w:pPr>
        <w:pStyle w:val="ListParagraph"/>
        <w:numPr>
          <w:ilvl w:val="0"/>
          <w:numId w:val="2"/>
        </w:numPr>
        <w:spacing w:after="90"/>
      </w:pPr>
      <w:r>
        <w:t xml:space="preserve">Check any request to make a payment or change bank details by calling the person on a number you already hold, not one given in the message.</w:t>
      </w:r>
    </w:p>
    <w:p>
      <w:pPr>
        <w:pStyle w:val="ListParagraph"/>
        <w:numPr>
          <w:ilvl w:val="0"/>
          <w:numId w:val="2"/>
        </w:numPr>
        <w:spacing w:after="90"/>
      </w:pPr>
      <w:r>
        <w:t xml:space="preserve">Do not set up automatic forwarding of work email to personal accounts, or send work information to personal email or storage.</w:t>
      </w:r>
    </w:p>
    <w:p>
      <w:pPr>
        <w:pStyle w:val="ListParagraph"/>
        <w:numPr>
          <w:ilvl w:val="0"/>
          <w:numId w:val="2"/>
        </w:numPr>
        <w:spacing w:after="90"/>
      </w:pPr>
      <w:r>
        <w:t xml:space="preserve">Use </w:t>
      </w:r>
      <w:r>
        <w:rPr>
          <w:highlight w:val="yellow"/>
        </w:rPr>
        <w:t xml:space="preserve">[approved messaging tool]</w:t>
      </w:r>
      <w:r>
        <w:t xml:space="preserve"> for work conversations, and do not use personal messaging apps for confidential information.</w:t>
      </w:r>
    </w:p>
    <w:p>
      <w:pPr>
        <w:pStyle w:val="ListParagraph"/>
        <w:numPr>
          <w:ilvl w:val="0"/>
          <w:numId w:val="2"/>
        </w:numPr>
        <w:spacing w:after="90"/>
      </w:pPr>
      <w:r>
        <w:t xml:space="preserve">Websites in </w:t>
      </w:r>
      <w:r>
        <w:rPr>
          <w:highlight w:val="yellow"/>
        </w:rPr>
        <w:t xml:space="preserve">[blocked categories]</w:t>
      </w:r>
      <w:r>
        <w:t xml:space="preserve"> are blocked by web filtering (8.23). If you need a blocked site for work, ask </w:t>
      </w:r>
      <w:r>
        <w:rPr>
          <w:highlight w:val="yellow"/>
        </w:rPr>
        <w:t xml:space="preserve">[IT]</w:t>
      </w:r>
      <w:r>
        <w:t xml:space="preserve">.</w:t>
      </w:r>
    </w:p>
    <w:p>
      <w:pPr>
        <w:pStyle w:val="Heading2"/>
      </w:pPr>
      <w:r>
        <w:t xml:space="preserve">9. Handling and sharing information</w:t>
      </w:r>
    </w:p>
    <w:p>
      <w:pPr>
        <w:keepNext/>
        <w:spacing w:after="100" w:before="0"/>
      </w:pPr>
      <w:r>
        <w:rPr>
          <w:i/>
          <w:iCs/>
          <w:color w:val="5B6770"/>
          <w:sz w:val="18"/>
          <w:szCs w:val="18"/>
        </w:rPr>
        <w:t xml:space="preserve">Supports Annex A 5.14 Information transfer; 5.34 Privacy and protection of PII; 7.10 Storage media; 7.14 Secure disposal or re-use of equipment</w:t>
      </w:r>
    </w:p>
    <w:p>
      <w:pPr>
        <w:pStyle w:val="ListParagraph"/>
        <w:numPr>
          <w:ilvl w:val="0"/>
          <w:numId w:val="2"/>
        </w:numPr>
        <w:spacing w:after="90"/>
      </w:pPr>
      <w:r>
        <w:t xml:space="preserve">Store work information only in approved locations such as </w:t>
      </w:r>
      <w:r>
        <w:rPr>
          <w:highlight w:val="yellow"/>
        </w:rPr>
        <w:t xml:space="preserve">[SharePoint, Google Drive or the CRM]</w:t>
      </w:r>
      <w:r>
        <w:t xml:space="preserve">, not on device desktops, personal cloud storage or removable media.</w:t>
      </w:r>
    </w:p>
    <w:p>
      <w:pPr>
        <w:pStyle w:val="ListParagraph"/>
        <w:numPr>
          <w:ilvl w:val="0"/>
          <w:numId w:val="2"/>
        </w:numPr>
        <w:spacing w:after="90"/>
      </w:pPr>
      <w:r>
        <w:t xml:space="preserve">Share information outside </w:t>
      </w:r>
      <w:r>
        <w:rPr>
          <w:highlight w:val="yellow"/>
        </w:rPr>
        <w:t xml:space="preserve">[Organisation name]</w:t>
      </w:r>
      <w:r>
        <w:t xml:space="preserve"> only through </w:t>
      </w:r>
      <w:r>
        <w:rPr>
          <w:highlight w:val="yellow"/>
        </w:rPr>
        <w:t xml:space="preserve">[approved tools]</w:t>
      </w:r>
      <w:r>
        <w:t xml:space="preserve">, only when there is a business need, and with the protection its classification requires, such as </w:t>
      </w:r>
      <w:r>
        <w:rPr>
          <w:highlight w:val="yellow"/>
        </w:rPr>
        <w:t xml:space="preserve">[encryption or expiring links]</w:t>
      </w:r>
      <w:r>
        <w:t xml:space="preserve">.</w:t>
      </w:r>
    </w:p>
    <w:p>
      <w:pPr>
        <w:pStyle w:val="ListParagraph"/>
        <w:numPr>
          <w:ilvl w:val="0"/>
          <w:numId w:val="2"/>
        </w:numPr>
        <w:spacing w:after="90"/>
      </w:pPr>
      <w:r>
        <w:t xml:space="preserve">Use removable media such as USB drives only if </w:t>
      </w:r>
      <w:r>
        <w:rPr>
          <w:highlight w:val="yellow"/>
        </w:rPr>
        <w:t xml:space="preserve">[IT]</w:t>
      </w:r>
      <w:r>
        <w:t xml:space="preserve"> has approved and encrypted them (7.10).</w:t>
      </w:r>
    </w:p>
    <w:p>
      <w:pPr>
        <w:pStyle w:val="ListParagraph"/>
        <w:numPr>
          <w:ilvl w:val="0"/>
          <w:numId w:val="2"/>
        </w:numPr>
        <w:spacing w:after="90"/>
      </w:pPr>
      <w:r>
        <w:t xml:space="preserve">Use personal data only for the purpose it was collected for, and follow the </w:t>
      </w:r>
      <w:r>
        <w:rPr>
          <w:highlight w:val="yellow"/>
        </w:rPr>
        <w:t xml:space="preserve">[Data Protection Policy]</w:t>
      </w:r>
      <w:r>
        <w:t xml:space="preserve"> (5.34).</w:t>
      </w:r>
    </w:p>
    <w:p>
      <w:pPr>
        <w:pStyle w:val="ListParagraph"/>
        <w:numPr>
          <w:ilvl w:val="0"/>
          <w:numId w:val="2"/>
        </w:numPr>
        <w:spacing w:after="90"/>
      </w:pPr>
      <w:r>
        <w:t xml:space="preserve">Collect printouts straight away, and put confidential paper in </w:t>
      </w:r>
      <w:r>
        <w:rPr>
          <w:highlight w:val="yellow"/>
        </w:rPr>
        <w:t xml:space="preserve">[the confidential waste bins or shredder]</w:t>
      </w:r>
      <w:r>
        <w:t xml:space="preserve">. Give old devices and media to </w:t>
      </w:r>
      <w:r>
        <w:rPr>
          <w:highlight w:val="yellow"/>
        </w:rPr>
        <w:t xml:space="preserve">[IT]</w:t>
      </w:r>
      <w:r>
        <w:t xml:space="preserve"> for secure disposal (7.14).</w:t>
      </w:r>
    </w:p>
    <w:p>
      <w:pPr>
        <w:pStyle w:val="ListParagraph"/>
        <w:numPr>
          <w:ilvl w:val="0"/>
          <w:numId w:val="2"/>
        </w:numPr>
        <w:spacing w:after="90"/>
      </w:pPr>
      <w:r>
        <w:t xml:space="preserve">Do not take, copy or keep our information for personal use, during or after your time with us.</w:t>
      </w:r>
    </w:p>
    <w:p>
      <w:pPr>
        <w:pStyle w:val="Heading2"/>
      </w:pPr>
      <w:r>
        <w:t xml:space="preserve">10. Working away from the office</w:t>
      </w:r>
    </w:p>
    <w:p>
      <w:pPr>
        <w:keepNext/>
        <w:spacing w:after="100" w:before="0"/>
      </w:pPr>
      <w:r>
        <w:rPr>
          <w:i/>
          <w:iCs/>
          <w:color w:val="5B6770"/>
          <w:sz w:val="18"/>
          <w:szCs w:val="18"/>
        </w:rPr>
        <w:t xml:space="preserve">Supports Annex A 6.7 Remote working; 7.9 Security of assets off-premises</w:t>
      </w:r>
    </w:p>
    <w:p>
      <w:pPr>
        <w:pStyle w:val="ListParagraph"/>
        <w:numPr>
          <w:ilvl w:val="0"/>
          <w:numId w:val="2"/>
        </w:numPr>
        <w:spacing w:after="90"/>
      </w:pPr>
      <w:r>
        <w:t xml:space="preserve">Make sure people cannot see your screen or overhear confidential calls, at home, when travelling and in public places.</w:t>
      </w:r>
    </w:p>
    <w:p>
      <w:pPr>
        <w:pStyle w:val="ListParagraph"/>
        <w:numPr>
          <w:ilvl w:val="0"/>
          <w:numId w:val="2"/>
        </w:numPr>
        <w:spacing w:after="90"/>
      </w:pPr>
      <w:r>
        <w:t xml:space="preserve">On public Wi-Fi, use </w:t>
      </w:r>
      <w:r>
        <w:rPr>
          <w:highlight w:val="yellow"/>
        </w:rPr>
        <w:t xml:space="preserve">[VPN or approved access method]</w:t>
      </w:r>
      <w:r>
        <w:t xml:space="preserve">, or your phone's hotspot instead.</w:t>
      </w:r>
    </w:p>
    <w:p>
      <w:pPr>
        <w:pStyle w:val="ListParagraph"/>
        <w:numPr>
          <w:ilvl w:val="0"/>
          <w:numId w:val="2"/>
        </w:numPr>
        <w:spacing w:after="90"/>
      </w:pPr>
      <w:r>
        <w:t xml:space="preserve">At home, keep work devices and papers away from other members of the household.</w:t>
      </w:r>
    </w:p>
    <w:p>
      <w:pPr>
        <w:pStyle w:val="ListParagraph"/>
        <w:numPr>
          <w:ilvl w:val="0"/>
          <w:numId w:val="2"/>
        </w:numPr>
        <w:spacing w:after="90"/>
      </w:pPr>
      <w:r>
        <w:t xml:space="preserve">Ask </w:t>
      </w:r>
      <w:r>
        <w:rPr>
          <w:highlight w:val="yellow"/>
        </w:rPr>
        <w:t xml:space="preserve">[IT]</w:t>
      </w:r>
      <w:r>
        <w:t xml:space="preserve"> before taking a work device abroad, because some countries restrict encryption and some destinations need extra precautions.</w:t>
      </w:r>
    </w:p>
    <w:p>
      <w:pPr>
        <w:pStyle w:val="Heading2"/>
      </w:pPr>
      <w:r>
        <w:t xml:space="preserve">11. Clear desk and clear screen</w:t>
      </w:r>
    </w:p>
    <w:p>
      <w:pPr>
        <w:keepNext/>
        <w:spacing w:after="100" w:before="0"/>
      </w:pPr>
      <w:r>
        <w:rPr>
          <w:i/>
          <w:iCs/>
          <w:color w:val="5B6770"/>
          <w:sz w:val="18"/>
          <w:szCs w:val="18"/>
        </w:rPr>
        <w:t xml:space="preserve">Supports Annex A 7.7 Clear desk and clear screen</w:t>
      </w:r>
    </w:p>
    <w:p>
      <w:pPr>
        <w:pStyle w:val="ListParagraph"/>
        <w:numPr>
          <w:ilvl w:val="0"/>
          <w:numId w:val="2"/>
        </w:numPr>
        <w:spacing w:after="90"/>
      </w:pPr>
      <w:r>
        <w:t xml:space="preserve">Lock away confidential papers and removable media when you leave your desk for a long period and at the end of the day.</w:t>
      </w:r>
    </w:p>
    <w:p>
      <w:pPr>
        <w:pStyle w:val="ListParagraph"/>
        <w:numPr>
          <w:ilvl w:val="0"/>
          <w:numId w:val="2"/>
        </w:numPr>
        <w:spacing w:after="90"/>
      </w:pPr>
      <w:r>
        <w:t xml:space="preserve">Remove papers from printers and meeting rooms, and wipe whiteboards after meetings.</w:t>
      </w:r>
    </w:p>
    <w:p>
      <w:pPr>
        <w:pStyle w:val="ListParagraph"/>
        <w:numPr>
          <w:ilvl w:val="0"/>
          <w:numId w:val="2"/>
        </w:numPr>
        <w:spacing w:after="90"/>
      </w:pPr>
      <w:r>
        <w:t xml:space="preserve">Close or hide confidential information before you share your screen on a video call.</w:t>
      </w:r>
    </w:p>
    <w:p>
      <w:pPr>
        <w:pStyle w:val="Heading2"/>
      </w:pPr>
      <w:r>
        <w:t xml:space="preserve">12. Social media and public statements</w:t>
      </w:r>
    </w:p>
    <w:p>
      <w:pPr>
        <w:pStyle w:val="ListParagraph"/>
        <w:numPr>
          <w:ilvl w:val="0"/>
          <w:numId w:val="2"/>
        </w:numPr>
        <w:spacing w:after="90"/>
      </w:pPr>
      <w:r>
        <w:t xml:space="preserve">Do not post confidential information about </w:t>
      </w:r>
      <w:r>
        <w:rPr>
          <w:highlight w:val="yellow"/>
        </w:rPr>
        <w:t xml:space="preserve">[Organisation name]</w:t>
      </w:r>
      <w:r>
        <w:t xml:space="preserve">, our customers or our systems on social media or public forums, including in photos that show screens, documents, ID badges or whiteboards.</w:t>
      </w:r>
    </w:p>
    <w:p>
      <w:pPr>
        <w:pStyle w:val="ListParagraph"/>
        <w:numPr>
          <w:ilvl w:val="0"/>
          <w:numId w:val="2"/>
        </w:numPr>
        <w:spacing w:after="90"/>
      </w:pPr>
      <w:r>
        <w:t xml:space="preserve">Only </w:t>
      </w:r>
      <w:r>
        <w:rPr>
          <w:highlight w:val="yellow"/>
        </w:rPr>
        <w:t xml:space="preserve">[named roles]</w:t>
      </w:r>
      <w:r>
        <w:t xml:space="preserve"> may comment publicly on behalf of </w:t>
      </w:r>
      <w:r>
        <w:rPr>
          <w:highlight w:val="yellow"/>
        </w:rPr>
        <w:t xml:space="preserve">[Organisation name]</w:t>
      </w:r>
      <w:r>
        <w:t xml:space="preserve">, including about security incidents.</w:t>
      </w:r>
    </w:p>
    <w:p>
      <w:pPr>
        <w:pStyle w:val="Heading2"/>
      </w:pPr>
      <w:r>
        <w:t xml:space="preserve">13. Reporting security events</w:t>
      </w:r>
    </w:p>
    <w:p>
      <w:pPr>
        <w:keepNext/>
        <w:spacing w:after="100" w:before="0"/>
      </w:pPr>
      <w:r>
        <w:rPr>
          <w:i/>
          <w:iCs/>
          <w:color w:val="5B6770"/>
          <w:sz w:val="18"/>
          <w:szCs w:val="18"/>
        </w:rPr>
        <w:t xml:space="preserve">Supports Annex A 6.8 Information security event reporting</w:t>
      </w:r>
    </w:p>
    <w:p>
      <w:pPr>
        <w:pStyle w:val="ListParagraph"/>
        <w:numPr>
          <w:ilvl w:val="0"/>
          <w:numId w:val="2"/>
        </w:numPr>
        <w:spacing w:after="90"/>
      </w:pPr>
      <w:r>
        <w:t xml:space="preserve">Report anything suspicious straight away to </w:t>
      </w:r>
      <w:r>
        <w:rPr>
          <w:highlight w:val="yellow"/>
        </w:rPr>
        <w:t xml:space="preserve">[contact, phone and email]</w:t>
      </w:r>
      <w:r>
        <w:t xml:space="preserve">, including phishing, lost devices, information sent to the wrong person, unusual system behaviour and any breach of this policy. Reports are welcome and handled without blame.</w:t>
      </w:r>
    </w:p>
    <w:p>
      <w:pPr>
        <w:pStyle w:val="ListParagraph"/>
        <w:numPr>
          <w:ilvl w:val="0"/>
          <w:numId w:val="2"/>
        </w:numPr>
        <w:spacing w:after="90"/>
      </w:pPr>
      <w:r>
        <w:t xml:space="preserve">Do not investigate or try to fix a suspected incident yourself, and do not delete evidence.</w:t>
      </w:r>
    </w:p>
    <w:p>
      <w:pPr>
        <w:pStyle w:val="Heading2"/>
      </w:pPr>
      <w:r>
        <w:t xml:space="preserve">14. Monitoring</w:t>
      </w:r>
    </w:p>
    <w:p>
      <w:pPr>
        <w:keepNext/>
        <w:spacing w:after="100" w:before="0"/>
      </w:pPr>
      <w:r>
        <w:rPr>
          <w:i/>
          <w:iCs/>
          <w:color w:val="5B6770"/>
          <w:sz w:val="18"/>
          <w:szCs w:val="18"/>
        </w:rPr>
        <w:t xml:space="preserve">Supports Annex A 5.10 Acceptable use of information and other associated assets; 8.16 Monitoring activities</w:t>
      </w:r>
    </w:p>
    <w:p>
      <w:pPr>
        <w:pStyle w:val="ListParagraph"/>
        <w:numPr>
          <w:ilvl w:val="0"/>
          <w:numId w:val="2"/>
        </w:numPr>
        <w:spacing w:after="90"/>
      </w:pPr>
      <w:r>
        <w:rPr>
          <w:highlight w:val="yellow"/>
        </w:rPr>
        <w:t xml:space="preserve">[Organisation name]</w:t>
      </w:r>
      <w:r>
        <w:t xml:space="preserve"> monitors the use of its systems to protect information, detect and investigate security incidents and meet legal obligations. This includes </w:t>
      </w:r>
      <w:r>
        <w:rPr>
          <w:highlight w:val="yellow"/>
        </w:rPr>
        <w:t xml:space="preserve">[email and web filtering, device management, sign-in logs, data loss prevention alerts and security alerts]</w:t>
      </w:r>
      <w:r>
        <w:t xml:space="preserve">.</w:t>
      </w:r>
    </w:p>
    <w:p>
      <w:pPr>
        <w:pStyle w:val="ListParagraph"/>
        <w:numPr>
          <w:ilvl w:val="0"/>
          <w:numId w:val="2"/>
        </w:numPr>
        <w:spacing w:after="90"/>
      </w:pPr>
      <w:r>
        <w:t xml:space="preserve">Monitoring is proportionate and is carried out in line with UK GDPR and our </w:t>
      </w:r>
      <w:r>
        <w:rPr>
          <w:highlight w:val="yellow"/>
        </w:rPr>
        <w:t xml:space="preserve">[staff privacy notice]</w:t>
      </w:r>
      <w:r>
        <w:t xml:space="preserve">. </w:t>
      </w:r>
      <w:r>
        <w:rPr>
          <w:highlight w:val="yellow"/>
        </w:rPr>
        <w:t xml:space="preserve">[We do not routinely read the content of your messages, but authorised people may access them where there is a legitimate business or legal reason, such as investigating an incident or suspected misconduct.]</w:t>
      </w:r>
    </w:p>
    <w:p>
      <w:pPr>
        <w:pStyle w:val="ListParagraph"/>
        <w:numPr>
          <w:ilvl w:val="0"/>
          <w:numId w:val="2"/>
        </w:numPr>
        <w:spacing w:after="90"/>
      </w:pPr>
      <w:r>
        <w:t xml:space="preserve">Personal information you keep on our systems may be seen during monitoring or support work, so keep it to a minimum.</w:t>
      </w:r>
    </w:p>
    <w:p>
      <w:pPr>
        <w:pStyle w:val="Heading2"/>
      </w:pPr>
      <w:r>
        <w:t xml:space="preserve">15. Returning assets and leaving</w:t>
      </w:r>
    </w:p>
    <w:p>
      <w:pPr>
        <w:keepNext/>
        <w:spacing w:after="100" w:before="0"/>
      </w:pPr>
      <w:r>
        <w:rPr>
          <w:i/>
          <w:iCs/>
          <w:color w:val="5B6770"/>
          <w:sz w:val="18"/>
          <w:szCs w:val="18"/>
        </w:rPr>
        <w:t xml:space="preserve">Supports Annex A 5.11 Return of assets; 6.5 Responsibilities after termination or change of employment; 6.6 Confidentiality or non-disclosure agreements</w:t>
      </w:r>
    </w:p>
    <w:p>
      <w:pPr>
        <w:pStyle w:val="ListParagraph"/>
        <w:numPr>
          <w:ilvl w:val="0"/>
          <w:numId w:val="2"/>
        </w:numPr>
        <w:spacing w:after="90"/>
      </w:pPr>
      <w:r>
        <w:t xml:space="preserve">When you leave, or when asked, return all devices, access cards, tokens, removable media and paper records, and do not keep copies of our information.</w:t>
      </w:r>
    </w:p>
    <w:p>
      <w:pPr>
        <w:pStyle w:val="ListParagraph"/>
        <w:numPr>
          <w:ilvl w:val="0"/>
          <w:numId w:val="2"/>
        </w:numPr>
        <w:spacing w:after="90"/>
      </w:pPr>
      <w:r>
        <w:t xml:space="preserve">If you used a personal device for work, delete company information and accounts from it, or let </w:t>
      </w:r>
      <w:r>
        <w:rPr>
          <w:highlight w:val="yellow"/>
        </w:rPr>
        <w:t xml:space="preserve">[IT]</w:t>
      </w:r>
      <w:r>
        <w:t xml:space="preserve"> remove them.</w:t>
      </w:r>
    </w:p>
    <w:p>
      <w:pPr>
        <w:pStyle w:val="ListParagraph"/>
        <w:numPr>
          <w:ilvl w:val="0"/>
          <w:numId w:val="2"/>
        </w:numPr>
        <w:spacing w:after="90"/>
      </w:pPr>
      <w:r>
        <w:t xml:space="preserve">Your confidentiality obligations continue after you leave, as set out in your </w:t>
      </w:r>
      <w:r>
        <w:rPr>
          <w:highlight w:val="yellow"/>
        </w:rPr>
        <w:t xml:space="preserve">[contract or confidentiality agreement]</w:t>
      </w:r>
      <w:r>
        <w:t xml:space="preserve"> (6.6).</w:t>
      </w:r>
    </w:p>
    <w:p>
      <w:pPr>
        <w:pStyle w:val="Heading2"/>
      </w:pPr>
      <w:r>
        <w:t xml:space="preserve">16. Breaches of this policy</w:t>
      </w:r>
    </w:p>
    <w:p>
      <w:pPr>
        <w:keepNext/>
        <w:spacing w:after="100" w:before="0"/>
      </w:pPr>
      <w:r>
        <w:rPr>
          <w:i/>
          <w:iCs/>
          <w:color w:val="5B6770"/>
          <w:sz w:val="18"/>
          <w:szCs w:val="18"/>
        </w:rPr>
        <w:t xml:space="preserve">Supports Annex A 6.4 Disciplinary process</w:t>
      </w:r>
    </w:p>
    <w:p>
      <w:pPr>
        <w:pStyle w:val="ListParagraph"/>
        <w:numPr>
          <w:ilvl w:val="0"/>
          <w:numId w:val="2"/>
        </w:numPr>
        <w:spacing w:after="90"/>
      </w:pPr>
      <w:r>
        <w:t xml:space="preserve">Breaking this policy may lead to removal of access and action under </w:t>
      </w:r>
      <w:r>
        <w:rPr>
          <w:highlight w:val="yellow"/>
        </w:rPr>
        <w:t xml:space="preserve">[disciplinary procedure]</w:t>
      </w:r>
      <w:r>
        <w:t xml:space="preserve">, which can include dismissal, or to termination of a contract or legal action.</w:t>
      </w:r>
    </w:p>
    <w:p>
      <w:pPr>
        <w:pStyle w:val="ListParagraph"/>
        <w:numPr>
          <w:ilvl w:val="0"/>
          <w:numId w:val="2"/>
        </w:numPr>
        <w:spacing w:after="90"/>
      </w:pPr>
      <w:r>
        <w:t xml:space="preserve">Honest mistakes reported promptly are treated as a chance to learn and improve, not as a disciplinary matter.</w:t>
      </w:r>
    </w:p>
    <w:p>
      <w:pPr>
        <w:pStyle w:val="Heading2"/>
      </w:pPr>
      <w:r>
        <w:t xml:space="preserve">17. Roles and responsibilities</w:t>
      </w:r>
    </w:p>
    <w:p>
      <w:pPr>
        <w:pStyle w:val="ListParagraph"/>
        <w:numPr>
          <w:ilvl w:val="0"/>
          <w:numId w:val="2"/>
        </w:numPr>
        <w:spacing w:after="90"/>
      </w:pPr>
      <w:r>
        <w:rPr>
          <w:highlight w:val="yellow"/>
        </w:rPr>
        <w:t xml:space="preserve">[Top management]</w:t>
      </w:r>
      <w:r>
        <w:t xml:space="preserve"> approves this policy.</w:t>
      </w:r>
    </w:p>
    <w:p>
      <w:pPr>
        <w:pStyle w:val="ListParagraph"/>
        <w:numPr>
          <w:ilvl w:val="0"/>
          <w:numId w:val="2"/>
        </w:numPr>
        <w:spacing w:after="90"/>
      </w:pPr>
      <w:r>
        <w:rPr>
          <w:highlight w:val="yellow"/>
        </w:rPr>
        <w:t xml:space="preserve">[ISMS manager]</w:t>
      </w:r>
      <w:r>
        <w:t xml:space="preserve"> owns this policy, keeps it up to date and checks that it is followed.</w:t>
      </w:r>
    </w:p>
    <w:p>
      <w:pPr>
        <w:pStyle w:val="ListParagraph"/>
        <w:numPr>
          <w:ilvl w:val="0"/>
          <w:numId w:val="2"/>
        </w:numPr>
        <w:spacing w:after="90"/>
      </w:pPr>
      <w:r>
        <w:rPr>
          <w:highlight w:val="yellow"/>
        </w:rPr>
        <w:t xml:space="preserve">[IT manager]</w:t>
      </w:r>
      <w:r>
        <w:t xml:space="preserve"> provides approved devices, software and services, keeps the approved software and AI tools lists, and runs the technical controls described here.</w:t>
      </w:r>
    </w:p>
    <w:p>
      <w:pPr>
        <w:pStyle w:val="ListParagraph"/>
        <w:numPr>
          <w:ilvl w:val="0"/>
          <w:numId w:val="2"/>
        </w:numPr>
        <w:spacing w:after="90"/>
      </w:pPr>
      <w:r>
        <w:rPr>
          <w:highlight w:val="yellow"/>
        </w:rPr>
        <w:t xml:space="preserve">[HR]</w:t>
      </w:r>
      <w:r>
        <w:t xml:space="preserve"> includes this policy in onboarding and terms of employment, and handles breaches under </w:t>
      </w:r>
      <w:r>
        <w:rPr>
          <w:highlight w:val="yellow"/>
        </w:rPr>
        <w:t xml:space="preserve">[disciplinary procedure]</w:t>
      </w:r>
      <w:r>
        <w:t xml:space="preserve">.</w:t>
      </w:r>
    </w:p>
    <w:p>
      <w:pPr>
        <w:pStyle w:val="ListParagraph"/>
        <w:numPr>
          <w:ilvl w:val="0"/>
          <w:numId w:val="2"/>
        </w:numPr>
        <w:spacing w:after="90"/>
      </w:pPr>
      <w:r>
        <w:t xml:space="preserve">Line managers make sure their teams have read and acknowledged this policy.</w:t>
      </w:r>
    </w:p>
    <w:p>
      <w:pPr>
        <w:pStyle w:val="ListParagraph"/>
        <w:numPr>
          <w:ilvl w:val="0"/>
          <w:numId w:val="2"/>
        </w:numPr>
        <w:spacing w:after="90"/>
      </w:pPr>
      <w:r>
        <w:t xml:space="preserve">Everyone follows this policy and reports security events.</w:t>
      </w:r>
    </w:p>
    <w:p>
      <w:pPr>
        <w:pStyle w:val="Heading2"/>
      </w:pPr>
      <w:r>
        <w:t xml:space="preserve">18. Exceptions</w:t>
      </w:r>
    </w:p>
    <w:p>
      <w:pPr>
        <w:pStyle w:val="ListParagraph"/>
        <w:numPr>
          <w:ilvl w:val="0"/>
          <w:numId w:val="2"/>
        </w:numPr>
        <w:spacing w:after="90"/>
      </w:pPr>
      <w:r>
        <w:t xml:space="preserve">Exceptions are requested in writing to </w:t>
      </w:r>
      <w:r>
        <w:rPr>
          <w:highlight w:val="yellow"/>
        </w:rPr>
        <w:t xml:space="preserve">[ISMS manager]</w:t>
      </w:r>
      <w:r>
        <w:t xml:space="preserve">, risk assessed, approved by the relevant risk owner, time-limited and recorded, as set out in the </w:t>
      </w:r>
      <w:r>
        <w:rPr>
          <w:highlight w:val="yellow"/>
        </w:rPr>
        <w:t xml:space="preserve">[Information Security Policy]</w:t>
      </w:r>
      <w:r>
        <w:t xml:space="preserve">.</w:t>
      </w:r>
    </w:p>
    <w:p>
      <w:pPr>
        <w:pStyle w:val="Heading2"/>
      </w:pPr>
      <w:r>
        <w:t xml:space="preserve">19. Related documents</w:t>
      </w:r>
    </w:p>
    <w:p>
      <w:pPr>
        <w:pStyle w:val="ListParagraph"/>
        <w:numPr>
          <w:ilvl w:val="0"/>
          <w:numId w:val="2"/>
        </w:numPr>
        <w:spacing w:after="90"/>
      </w:pPr>
      <w:r>
        <w:rPr>
          <w:highlight w:val="yellow"/>
        </w:rPr>
        <w:t xml:space="preserve">[Information Security Policy]</w:t>
      </w:r>
      <w:r>
        <w:t xml:space="preserve">, </w:t>
      </w:r>
      <w:r>
        <w:rPr>
          <w:highlight w:val="yellow"/>
        </w:rPr>
        <w:t xml:space="preserve">[Access Control Policy]</w:t>
      </w:r>
      <w:r>
        <w:t xml:space="preserve">, </w:t>
      </w:r>
      <w:r>
        <w:rPr>
          <w:highlight w:val="yellow"/>
        </w:rPr>
        <w:t xml:space="preserve">[Information Classification Policy]</w:t>
      </w:r>
      <w:r>
        <w:t xml:space="preserve">, </w:t>
      </w:r>
      <w:r>
        <w:rPr>
          <w:highlight w:val="yellow"/>
        </w:rPr>
        <w:t xml:space="preserve">[Data Protection Policy]</w:t>
      </w:r>
      <w:r>
        <w:t xml:space="preserve">, </w:t>
      </w:r>
      <w:r>
        <w:rPr>
          <w:highlight w:val="yellow"/>
        </w:rPr>
        <w:t xml:space="preserve">[Cryptography Policy]</w:t>
      </w:r>
      <w:r>
        <w:t xml:space="preserve"> and </w:t>
      </w:r>
      <w:r>
        <w:rPr>
          <w:highlight w:val="yellow"/>
        </w:rPr>
        <w:t xml:space="preserve">[Remote Working Policy]</w:t>
      </w:r>
      <w:r>
        <w:t xml:space="preserve">.</w:t>
      </w:r>
    </w:p>
    <w:p>
      <w:pPr>
        <w:pStyle w:val="ListParagraph"/>
        <w:numPr>
          <w:ilvl w:val="0"/>
          <w:numId w:val="2"/>
        </w:numPr>
        <w:spacing w:after="90"/>
      </w:pPr>
      <w:r>
        <w:rPr>
          <w:highlight w:val="yellow"/>
        </w:rPr>
        <w:t xml:space="preserve">[Approved software list]</w:t>
      </w:r>
      <w:r>
        <w:t xml:space="preserve">, </w:t>
      </w:r>
      <w:r>
        <w:rPr>
          <w:highlight w:val="yellow"/>
        </w:rPr>
        <w:t xml:space="preserve">[approved AI tools list]</w:t>
      </w:r>
      <w:r>
        <w:t xml:space="preserve">, </w:t>
      </w:r>
      <w:r>
        <w:rPr>
          <w:highlight w:val="yellow"/>
        </w:rPr>
        <w:t xml:space="preserve">[staff privacy notice]</w:t>
      </w:r>
      <w:r>
        <w:t xml:space="preserve"> and </w:t>
      </w:r>
      <w:r>
        <w:rPr>
          <w:highlight w:val="yellow"/>
        </w:rPr>
        <w:t xml:space="preserve">[disciplinary procedure]</w:t>
      </w:r>
      <w:r>
        <w:t xml:space="preserve">.</w:t>
      </w:r>
    </w:p>
    <w:p>
      <w:pPr>
        <w:pStyle w:val="Heading2"/>
      </w:pPr>
      <w:r>
        <w:t xml:space="preserve">20. Acknowledgement, review and approval</w:t>
      </w:r>
    </w:p>
    <w:p>
      <w:pPr>
        <w:keepNext/>
        <w:spacing w:after="100" w:before="0"/>
      </w:pPr>
      <w:r>
        <w:rPr>
          <w:i/>
          <w:iCs/>
          <w:color w:val="5B6770"/>
          <w:sz w:val="18"/>
          <w:szCs w:val="18"/>
        </w:rPr>
        <w:t xml:space="preserve">Supports Annex A 6.3 Information security awareness, education and training</w:t>
      </w:r>
    </w:p>
    <w:p>
      <w:pPr>
        <w:pStyle w:val="ListParagraph"/>
        <w:numPr>
          <w:ilvl w:val="0"/>
          <w:numId w:val="2"/>
        </w:numPr>
        <w:spacing w:after="90"/>
      </w:pPr>
      <w:r>
        <w:t xml:space="preserve">Everyone in scope reads this policy and confirms they understand and will follow it before they get access, and </w:t>
      </w:r>
      <w:r>
        <w:rPr>
          <w:highlight w:val="yellow"/>
        </w:rPr>
        <w:t xml:space="preserve">[each year]</w:t>
      </w:r>
      <w:r>
        <w:t xml:space="preserve"> after that, using the form in Appendix A or </w:t>
      </w:r>
      <w:r>
        <w:rPr>
          <w:highlight w:val="yellow"/>
        </w:rPr>
        <w:t xml:space="preserve">[training platform]</w:t>
      </w:r>
      <w:r>
        <w:t xml:space="preserve">.</w:t>
      </w:r>
    </w:p>
    <w:p>
      <w:pPr>
        <w:pStyle w:val="ListParagraph"/>
        <w:numPr>
          <w:ilvl w:val="0"/>
          <w:numId w:val="2"/>
        </w:numPr>
        <w:spacing w:after="90"/>
      </w:pPr>
      <w:r>
        <w:t xml:space="preserve">Reviewed at least every </w:t>
      </w:r>
      <w:r>
        <w:rPr>
          <w:highlight w:val="yellow"/>
        </w:rPr>
        <w:t xml:space="preserve">[12]</w:t>
      </w:r>
      <w:r>
        <w:t xml:space="preserve"> months and after significant change. Approved by </w:t>
      </w:r>
      <w:r>
        <w:rPr>
          <w:highlight w:val="yellow"/>
        </w:rPr>
        <w:t xml:space="preserve">[name, role]</w:t>
      </w:r>
      <w:r>
        <w:t xml:space="preserve"> on </w:t>
      </w:r>
      <w:r>
        <w:rPr>
          <w:highlight w:val="yellow"/>
        </w:rPr>
        <w:t xml:space="preserve">[date]</w:t>
      </w:r>
      <w:r>
        <w:t xml:space="preserve">. Version </w:t>
      </w:r>
      <w:r>
        <w:rPr>
          <w:highlight w:val="yellow"/>
        </w:rPr>
        <w:t xml:space="preserve">[x]</w:t>
      </w:r>
      <w:r>
        <w:t xml:space="preserve">.</w:t>
      </w:r>
    </w:p>
    <w:p>
      <w:pPr>
        <w:pStyle w:val="Heading1"/>
        <w:pageBreakBefore/>
      </w:pPr>
      <w:r>
        <w:t xml:space="preserve">Part B: Which Annex A controls does this policy support?</w:t>
      </w:r>
    </w:p>
    <w:p>
      <w:pPr>
        <w:keepNext/>
        <w:spacing w:after="140" w:before="0"/>
      </w:pPr>
      <w:r>
        <w:t xml:space="preserve">This policy is written to meet Annex A control 5.10. Use the table when you complete your Statement of Applicability, so the control points to the rules that implement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500"/>
        <w:gridCol w:w="5138"/>
      </w:tblGrid>
      <w:tr>
        <w:trPr>
          <w:cantSplit/>
          <w:tblHeader/>
        </w:trPr>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Control</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Title</w:t>
            </w:r>
          </w:p>
        </w:tc>
        <w:tc>
          <w:tcPr>
            <w:tcW w:type="dxa" w:w="5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this policy addresses it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5.10</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Acceptable use of information and other associated assets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3. Your general responsibilities</w:t>
            </w:r>
          </w:p>
          <w:p>
            <w:pPr>
              <w:spacing w:after="60" w:before="0"/>
            </w:pPr>
            <w:r>
              <w:rPr>
                <w:b w:val="false"/>
                <w:bCs w:val="false"/>
                <w:sz w:val="20"/>
                <w:szCs w:val="20"/>
              </w:rPr>
              <w:t xml:space="preserve">4. What is never allowed</w:t>
            </w:r>
          </w:p>
          <w:p>
            <w:pPr>
              <w:spacing w:after="60" w:before="0"/>
            </w:pPr>
            <w:r>
              <w:rPr>
                <w:b w:val="false"/>
                <w:bCs w:val="false"/>
                <w:sz w:val="20"/>
                <w:szCs w:val="20"/>
              </w:rPr>
              <w:t xml:space="preserve">14. Monitoring</w:t>
            </w:r>
          </w:p>
          <w:p>
            <w:pPr>
              <w:spacing w:after="60" w:before="0"/>
            </w:pPr>
            <w:r>
              <w:rPr>
                <w:b w:val="false"/>
                <w:bCs w:val="false"/>
                <w:sz w:val="20"/>
                <w:szCs w:val="20"/>
              </w:rPr>
              <w:t xml:space="preserve">20. Acknowledgement, review and approval</w:t>
            </w:r>
          </w:p>
        </w:tc>
      </w:tr>
    </w:tbl>
    <w:p>
      <w:pPr>
        <w:pStyle w:val="Heading2"/>
      </w:pPr>
      <w:r>
        <w:t xml:space="preserve">Related controls</w:t>
      </w:r>
    </w:p>
    <w:p>
      <w:pPr>
        <w:keepNext/>
        <w:spacing w:after="140" w:before="0"/>
      </w:pPr>
      <w:r>
        <w:t xml:space="preserve">These controls are mainly met elsewhere, but this policy contains rules that support them. Cross-reference them in your Statement of Applicability where it helps.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500"/>
        <w:gridCol w:w="5138"/>
      </w:tblGrid>
      <w:tr>
        <w:trPr>
          <w:cantSplit/>
          <w:tblHeader/>
        </w:trPr>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Control</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Title</w:t>
            </w:r>
          </w:p>
        </w:tc>
        <w:tc>
          <w:tcPr>
            <w:tcW w:type="dxa" w:w="5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this policy supports it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5.11</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Return of assets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15. Returning assets and leaving</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5.12</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Classification of information</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3. Your general responsibilities</w:t>
            </w:r>
          </w:p>
          <w:p>
            <w:pPr>
              <w:spacing w:after="60" w:before="0"/>
            </w:pPr>
            <w:r>
              <w:rPr>
                <w:b w:val="false"/>
                <w:bCs w:val="false"/>
                <w:sz w:val="20"/>
                <w:szCs w:val="20"/>
              </w:rPr>
              <w:t xml:space="preserve">9. Handling and sharing information</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5.13</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Labelling of information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3. Your general responsibilities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5.14</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Information transfer</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8. Email, messaging and the internet</w:t>
            </w:r>
          </w:p>
          <w:p>
            <w:pPr>
              <w:spacing w:after="60" w:before="0"/>
            </w:pPr>
            <w:r>
              <w:rPr>
                <w:b w:val="false"/>
                <w:bCs w:val="false"/>
                <w:sz w:val="20"/>
                <w:szCs w:val="20"/>
              </w:rPr>
              <w:t xml:space="preserve">9. Handling and sharing information</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5.17</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Authentication information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 Accounts and passwords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5.23</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Information security for use of cloud services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7. Software, cloud services and AI tools</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5.32</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Intellectual property rights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4. What is never allowed</w:t>
            </w:r>
          </w:p>
          <w:p>
            <w:pPr>
              <w:spacing w:after="60" w:before="0"/>
            </w:pPr>
            <w:r>
              <w:rPr>
                <w:b w:val="false"/>
                <w:bCs w:val="false"/>
                <w:sz w:val="20"/>
                <w:szCs w:val="20"/>
              </w:rPr>
              <w:t xml:space="preserve">7. Software, cloud services and AI tools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5.34</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Privacy and protection of PII</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9. Handling and sharing information</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6.3</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Information security awareness, education and training</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20. Acknowledgement, review and approval</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6.4</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Disciplinary process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16. Breaches of this policy</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6.5</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Responsibilities after termination or change of employment</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15. Returning assets and leaving</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6.6</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Confidentiality or non-disclosure agreements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15. Returning assets and leaving</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6.7</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Remote working</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10. Working away from the office</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6.8</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Information security event reporting</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13. Reporting security events</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7.7</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Clear desk and clear screen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6. Devices</w:t>
            </w:r>
          </w:p>
          <w:p>
            <w:pPr>
              <w:spacing w:after="60" w:before="0"/>
            </w:pPr>
            <w:r>
              <w:rPr>
                <w:b w:val="false"/>
                <w:bCs w:val="false"/>
                <w:sz w:val="20"/>
                <w:szCs w:val="20"/>
              </w:rPr>
              <w:t xml:space="preserve">11. Clear desk and clear screen</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7.9</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Security of assets off-premises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6. Devices</w:t>
            </w:r>
          </w:p>
          <w:p>
            <w:pPr>
              <w:spacing w:after="60" w:before="0"/>
            </w:pPr>
            <w:r>
              <w:rPr>
                <w:b w:val="false"/>
                <w:bCs w:val="false"/>
                <w:sz w:val="20"/>
                <w:szCs w:val="20"/>
              </w:rPr>
              <w:t xml:space="preserve">10. Working away from the office</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7.10</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Storage media</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9. Handling and sharing information</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7.14</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Secure disposal or re-use of equipment</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9. Handling and sharing information</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8.1</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User endpoint devices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6. Devices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8.7</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Protection against malware</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6. Devices</w:t>
            </w:r>
          </w:p>
          <w:p>
            <w:pPr>
              <w:spacing w:after="60" w:before="0"/>
            </w:pPr>
            <w:r>
              <w:rPr>
                <w:b w:val="false"/>
                <w:bCs w:val="false"/>
                <w:sz w:val="20"/>
                <w:szCs w:val="20"/>
              </w:rPr>
              <w:t xml:space="preserve">8. Email, messaging and the internet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8.16</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Monitoring activities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14. Monitoring</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8.19</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Installation of software on operational systems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7. Software, cloud services and AI tools</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8.23</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Web filtering</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 Email, messaging and the internet</w:t>
            </w:r>
          </w:p>
        </w:tc>
      </w:tr>
    </w:tbl>
    <w:p>
      <w:pPr>
        <w:spacing w:after="80" w:before="0"/>
      </w:pPr>
    </w:p>
    <w:p>
      <w:pPr>
        <w:spacing w:after="140" w:before="0"/>
      </w:pPr>
      <w:r>
        <w:t xml:space="preserve">Control numbers follow ISO/IEC 27001:2022. If your documents still use 2013 references such as A.9, A.10 or A.15, update them: the transition period for the 2013 edition ended on 31 October 2025.</w:t>
      </w:r>
    </w:p>
    <w:p>
      <w:pPr>
        <w:pStyle w:val="Heading1"/>
        <w:pageBreakBefore/>
      </w:pPr>
      <w:r>
        <w:t xml:space="preserve">Part C: Evidence auditors ask for, and checks before you approve</w:t>
      </w:r>
    </w:p>
    <w:p>
      <w:pPr>
        <w:keepNext/>
        <w:spacing w:after="140" w:before="0"/>
      </w:pPr>
      <w:r>
        <w:t xml:space="preserve">A policy is only as strong as the records that show it is followed. These are the records a certification auditor is likely to sample for this policy: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938"/>
      </w:tblGrid>
      <w:tr>
        <w:trPr>
          <w:cantSplit/>
          <w:tblHeader/>
        </w:trPr>
        <w:tc>
          <w:tcPr>
            <w:tcW w:type="dxa" w:w="2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Policy area</w:t>
            </w:r>
          </w:p>
        </w:tc>
        <w:tc>
          <w:tcPr>
            <w:tcW w:type="dxa" w:w="69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Records that show the rules are followed</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Acknowledgement</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Signed acknowledgement forms or training platform records for a sample of staff, contractors and recent joiners, matched to the current policy version</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Awareness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Onboarding and annual training records that cover the policy</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Devices</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Device management reports showing encryption, screen lock and update status</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Software and AI tools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The approved software and AI tools lists, and how unapproved software is blocked or detected</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Monitoring</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staff privacy notice and any data protection impact assessment for monitoring, consistent with section 14</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Breaches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Records of how breaches of the policy were handled</w:t>
            </w:r>
          </w:p>
        </w:tc>
      </w:tr>
    </w:tbl>
    <w:p>
      <w:pPr>
        <w:pStyle w:val="Heading2"/>
      </w:pPr>
      <w:r>
        <w:t xml:space="preserve">Checks before you approve</w:t>
      </w:r>
    </w:p>
    <w:p>
      <w:pPr>
        <w:keepNext/>
        <w:spacing w:after="140" w:before="0"/>
      </w:pPr>
      <w:r>
        <w:t xml:space="preserve">Templates fail in predictable ways. Before you approve this policy, check for these:</w:t>
      </w:r>
    </w:p>
    <w:p>
      <w:pPr>
        <w:pStyle w:val="ListParagraph"/>
        <w:numPr>
          <w:ilvl w:val="0"/>
          <w:numId w:val="2"/>
        </w:numPr>
        <w:spacing w:after="90"/>
      </w:pPr>
      <w:r>
        <w:rPr>
          <w:b/>
          <w:bCs/>
        </w:rPr>
        <w:t xml:space="preserve">No acknowledgement records.</w:t>
      </w:r>
      <w:r>
        <w:t xml:space="preserve"> Control 5.1 expects relevant people to acknowledge policies; auditors usually sample contractors and recent joiners.</w:t>
      </w:r>
    </w:p>
    <w:p>
      <w:pPr>
        <w:pStyle w:val="ListParagraph"/>
        <w:numPr>
          <w:ilvl w:val="0"/>
          <w:numId w:val="2"/>
        </w:numPr>
        <w:spacing w:after="90"/>
      </w:pPr>
      <w:r>
        <w:rPr>
          <w:b/>
          <w:bCs/>
        </w:rPr>
        <w:t xml:space="preserve">Monitoring the policy does not mention.</w:t>
      </w:r>
      <w:r>
        <w:t xml:space="preserve"> If you monitor something, say so here and in your staff privacy notice.</w:t>
      </w:r>
    </w:p>
    <w:p>
      <w:pPr>
        <w:pStyle w:val="ListParagraph"/>
        <w:numPr>
          <w:ilvl w:val="0"/>
          <w:numId w:val="2"/>
        </w:numPr>
        <w:spacing w:after="90"/>
      </w:pPr>
      <w:r>
        <w:rPr>
          <w:b/>
          <w:bCs/>
        </w:rPr>
        <w:t xml:space="preserve">Rules nobody can follow.</w:t>
      </w:r>
      <w:r>
        <w:t xml:space="preserve"> A ban on personal devices when everyone reads email on their phone, or a list of approved tools that is years out of date.</w:t>
      </w:r>
    </w:p>
    <w:p>
      <w:pPr>
        <w:pStyle w:val="ListParagraph"/>
        <w:numPr>
          <w:ilvl w:val="0"/>
          <w:numId w:val="2"/>
        </w:numPr>
        <w:spacing w:after="90"/>
      </w:pPr>
      <w:r>
        <w:rPr>
          <w:b/>
          <w:bCs/>
        </w:rPr>
        <w:t xml:space="preserve">No position on AI tools.</w:t>
      </w:r>
      <w:r>
        <w:t xml:space="preserve"> Staff are already using them; say which are approved and what information must never go into them.</w:t>
      </w:r>
    </w:p>
    <w:p>
      <w:pPr>
        <w:pStyle w:val="ListParagraph"/>
        <w:numPr>
          <w:ilvl w:val="0"/>
          <w:numId w:val="2"/>
        </w:numPr>
        <w:spacing w:after="90"/>
      </w:pPr>
      <w:r>
        <w:rPr>
          <w:b/>
          <w:bCs/>
        </w:rPr>
        <w:t xml:space="preserve">Different versions in circulation.</w:t>
      </w:r>
      <w:r>
        <w:t xml:space="preserve"> The handbook, intranet and onboarding pack each carry a different copy. Keep one controlled version.</w:t>
      </w:r>
    </w:p>
    <w:p>
      <w:pPr>
        <w:pStyle w:val="ListParagraph"/>
        <w:numPr>
          <w:ilvl w:val="0"/>
          <w:numId w:val="2"/>
        </w:numPr>
        <w:spacing w:after="90"/>
      </w:pPr>
      <w:r>
        <w:rPr>
          <w:b/>
          <w:bCs/>
        </w:rPr>
        <w:t xml:space="preserve">Old numbering.</w:t>
      </w:r>
      <w:r>
        <w:t xml:space="preserve"> References to A.8.1.3 come from the 2013 edition; acceptable use is now Annex A 5.10.</w:t>
      </w:r>
    </w:p>
    <w:p>
      <w:pPr>
        <w:spacing w:after="140" w:before="120"/>
      </w:pPr>
      <w:r>
        <w:t xml:space="preserve">Annex A control 5.1 requires topic-specific policies to be approved by management, published, communicated to and acknowledged by relevant people, and reviewed at planned intervals and after significant change. Record each step.</w:t>
      </w:r>
    </w:p>
    <w:p>
      <w:pPr>
        <w:pStyle w:val="Heading1"/>
        <w:pageBreakBefore/>
      </w:pPr>
      <w:r>
        <w:t xml:space="preserve">Appendix A: User acknowledgement form</w:t>
      </w:r>
    </w:p>
    <w:p>
      <w:pPr>
        <w:spacing w:after="140" w:before="0"/>
      </w:pPr>
      <w:r>
        <w:t xml:space="preserve">Give this form to everyone within the scope of the policy before they get access, and again </w:t>
      </w:r>
      <w:r>
        <w:rPr>
          <w:highlight w:val="yellow"/>
        </w:rPr>
        <w:t xml:space="preserve">[each year]</w:t>
      </w:r>
      <w:r>
        <w:t xml:space="preserve">. Keep the completed forms, or record acknowledgement in </w:t>
      </w:r>
      <w:r>
        <w:rPr>
          <w:highlight w:val="yellow"/>
        </w:rPr>
        <w:t xml:space="preserve">[training platform]</w:t>
      </w:r>
      <w:r>
        <w:t xml:space="preserve"> instead, and log each one in Appendix B.</w:t>
      </w:r>
    </w:p>
    <w:p>
      <w:pPr>
        <w:spacing w:after="140" w:before="200"/>
      </w:pPr>
      <w:r>
        <w:rPr>
          <w:b/>
          <w:bCs/>
          <w:highlight w:val="yellow"/>
        </w:rPr>
        <w:t xml:space="preserve">[Organisation name]</w:t>
      </w:r>
      <w:r>
        <w:rPr>
          <w:b/>
          <w:bCs/>
        </w:rPr>
        <w:t xml:space="preserve"> Acceptable Use Policy: acknowledgement</w:t>
      </w:r>
    </w:p>
    <w:p>
      <w:pPr>
        <w:keepNext/>
        <w:spacing w:after="140" w:before="0"/>
      </w:pPr>
      <w:r>
        <w:t xml:space="preserve">I confirm that I have read and understood the </w:t>
      </w:r>
      <w:r>
        <w:rPr>
          <w:highlight w:val="yellow"/>
        </w:rPr>
        <w:t xml:space="preserve">[Organisation name]</w:t>
      </w:r>
      <w:r>
        <w:t xml:space="preserve"> Acceptable Use Policy, version </w:t>
      </w:r>
      <w:r>
        <w:rPr>
          <w:highlight w:val="yellow"/>
        </w:rPr>
        <w:t xml:space="preserve">[x]</w:t>
      </w:r>
      <w:r>
        <w:t xml:space="preserve">, and that I will follow it. I understand that:</w:t>
      </w:r>
    </w:p>
    <w:p>
      <w:pPr>
        <w:pStyle w:val="ListParagraph"/>
        <w:numPr>
          <w:ilvl w:val="0"/>
          <w:numId w:val="2"/>
        </w:numPr>
        <w:spacing w:after="90"/>
      </w:pPr>
      <w:r>
        <w:rPr>
          <w:highlight w:val="yellow"/>
        </w:rPr>
        <w:t xml:space="preserve">[Organisation name]</w:t>
      </w:r>
      <w:r>
        <w:t xml:space="preserve"> monitors the use of its systems as described in section 14 of the policy;</w:t>
      </w:r>
    </w:p>
    <w:p>
      <w:pPr>
        <w:pStyle w:val="ListParagraph"/>
        <w:numPr>
          <w:ilvl w:val="0"/>
          <w:numId w:val="2"/>
        </w:numPr>
        <w:spacing w:after="90"/>
      </w:pPr>
      <w:r>
        <w:t xml:space="preserve">I must report security events and lost or stolen devices straight away to </w:t>
      </w:r>
      <w:r>
        <w:rPr>
          <w:highlight w:val="yellow"/>
        </w:rPr>
        <w:t xml:space="preserve">[contact]</w:t>
      </w:r>
      <w:r>
        <w:t xml:space="preserve">;</w:t>
      </w:r>
    </w:p>
    <w:p>
      <w:pPr>
        <w:pStyle w:val="ListParagraph"/>
        <w:numPr>
          <w:ilvl w:val="0"/>
          <w:numId w:val="2"/>
        </w:numPr>
        <w:spacing w:after="90"/>
      </w:pPr>
      <w:r>
        <w:t xml:space="preserve">breaking the policy may lead to action under </w:t>
      </w:r>
      <w:r>
        <w:rPr>
          <w:highlight w:val="yellow"/>
        </w:rPr>
        <w:t xml:space="preserve">[disciplinary procedure]</w:t>
      </w:r>
      <w:r>
        <w:t xml:space="preserve">; and</w:t>
      </w:r>
    </w:p>
    <w:p>
      <w:pPr>
        <w:pStyle w:val="ListParagraph"/>
        <w:numPr>
          <w:ilvl w:val="0"/>
          <w:numId w:val="2"/>
        </w:numPr>
        <w:spacing w:after="90"/>
      </w:pPr>
      <w:r>
        <w:t xml:space="preserve">my confidentiality obligations continue after I leave.</w:t>
      </w:r>
    </w:p>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Full name</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p>
          <w:p>
            <w:pPr>
              <w:spacing w:after="60" w:before="0"/>
            </w:pP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Role or team</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p>
          <w:p>
            <w:pPr>
              <w:spacing w:after="60" w:before="0"/>
            </w:pP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Employee, contractor or other</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p>
          <w:p>
            <w:pPr>
              <w:spacing w:after="60" w:before="0"/>
            </w:pP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Signature</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p>
          <w:p>
            <w:pPr>
              <w:spacing w:after="60" w:before="0"/>
            </w:pPr>
          </w:p>
          <w:p>
            <w:pPr>
              <w:spacing w:after="60" w:before="0"/>
            </w:pP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Date</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p>
          <w:p>
            <w:pPr>
              <w:spacing w:after="60" w:before="0"/>
            </w:pPr>
          </w:p>
        </w:tc>
      </w:tr>
    </w:tbl>
    <w:p>
      <w:pPr>
        <w:sectPr>
          <w:footerReference w:type="default" r:id="rId6"/>
          <w:pgSz w:w="11906" w:h="16838" w:orient="portrait"/>
          <w:pgMar w:top="1134" w:right="1134" w:bottom="1134" w:left="1134" w:header="708" w:footer="560" w:gutter="0"/>
          <w:pgNumType/>
          <w:docGrid w:linePitch="360"/>
        </w:sectPr>
      </w:pPr>
    </w:p>
    <w:p>
      <w:pPr>
        <w:pStyle w:val="Heading1"/>
      </w:pPr>
      <w:r>
        <w:t xml:space="preserve">Appendix B: Acknowledgement record</w:t>
      </w:r>
    </w:p>
    <w:p>
      <w:pPr>
        <w:keepNext/>
        <w:spacing w:after="140" w:before="0"/>
      </w:pPr>
      <w:r>
        <w:t xml:space="preserve">Log each acknowledgement, so you can show an auditor that everyone in scope has acknowledged the current version.</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900"/>
        <w:gridCol w:w="1500"/>
        <w:gridCol w:w="1300"/>
        <w:gridCol w:w="1700"/>
        <w:gridCol w:w="2400"/>
        <w:gridCol w:w="1900"/>
        <w:gridCol w:w="1970"/>
      </w:tblGrid>
      <w:tr>
        <w:trPr>
          <w:cantSplit/>
          <w:tblHeader/>
        </w:trPr>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Name</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Role or team</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Employee or contractor</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Policy 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 acknowledged</w:t>
            </w:r>
          </w:p>
        </w:tc>
        <w:tc>
          <w:tcPr>
            <w:tcW w:type="dxa" w:w="2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Method (form or training platform)</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Recorded by</w:t>
            </w:r>
          </w:p>
        </w:tc>
        <w:tc>
          <w:tcPr>
            <w:tcW w:type="dxa" w:w="19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acknowledgement due</w:t>
            </w:r>
          </w:p>
        </w:tc>
      </w:tr>
      <w:tr>
        <w:trPr>
          <w:cantSplit/>
          <w:trHeight w:val="42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bl>
    <w:sectPr>
      <w:footerReference w:type="default" r:id="rId7"/>
      <w:type w:val="nextPage"/>
      <w:pgSz w:w="16838" w:h="11906" w:orient="landscape"/>
      <w:pgMar w:top="1134" w:right="1134" w:bottom="1134" w:left="1134"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Acceptable use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Acceptable use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E02840"/>
      </w:rPr>
    </w:lvl>
  </w:abstractNum>
  <w:abstractNum w:abstractNumId="3" w15:restartNumberingAfterBreak="0">
    <w:multiLevelType w:val="hybridMultilevel"/>
    <w:lvl w:ilvl="0" w:tentative="1">
      <w:start w:val="1"/>
      <w:numFmt w:val="decimal"/>
      <w:lvlText w:val="%1."/>
      <w:lvlJc w:val="left"/>
      <w:pPr>
        <w:ind w:left="400" w:hanging="320"/>
      </w:pPr>
      <w:rPr>
        <w:b/>
        <w:bCs/>
        <w:color w:val="10283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33"/>
        <w:sz w:val="21"/>
        <w:szCs w:val="21"/>
        <w:lang w:val="en-GB"/>
      </w:rPr>
    </w:rPrDefault>
    <w:pPrDefault>
      <w:pPr>
        <w:spacing w:after="14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Calibri" w:cs="Calibri" w:eastAsia="Calibri" w:hAnsi="Calibri"/>
      <w:b/>
      <w:bCs/>
      <w:color w:val="102838"/>
      <w:sz w:val="32"/>
      <w:szCs w:val="32"/>
    </w:rPr>
  </w:style>
  <w:style w:type="paragraph" w:styleId="Heading2">
    <w:name w:val="Heading 2"/>
    <w:basedOn w:val="Normal"/>
    <w:next w:val="Normal"/>
    <w:qFormat/>
    <w:pPr>
      <w:keepNext/>
      <w:keepLines/>
      <w:spacing w:after="100" w:before="260"/>
      <w:outlineLvl w:val="1"/>
    </w:pPr>
    <w:rPr>
      <w:rFonts w:ascii="Calibri" w:cs="Calibri" w:eastAsia="Calibri" w:hAnsi="Calibri"/>
      <w:b/>
      <w:bCs/>
      <w:color w:val="102838"/>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x2awmyrb__n6zncpuqpz5" Type="http://schemas.openxmlformats.org/officeDocument/2006/relationships/hyperlink" Target="https://sovereignsecure.co.uk/" TargetMode="External"/><Relationship Id="rIdcgw6z3ay7kp5zcyyxr3td" Type="http://schemas.openxmlformats.org/officeDocument/2006/relationships/hyperlink" Target="https://sovereignsecure.co.uk/iso-27001-policy-templates/" TargetMode="External"/><Relationship Id="rIdepymvgkclnlzi7yoieztp" Type="http://schemas.openxmlformats.org/officeDocument/2006/relationships/hyperlink" Target="https://www.iso.org/standard/27001" TargetMode="External"/><Relationship Id="rIdsjnxg9dmbwl5dhg3soguz" Type="http://schemas.openxmlformats.org/officeDocument/2006/relationships/hyperlink" Target="https://sovereignsecure.co.uk/iso-27001-policy-templates/" TargetMode="External"/><Relationship Id="rIdh45n3orlfv2suzqvjmuid" Type="http://schemas.openxmlformats.org/officeDocument/2006/relationships/hyperlink" Target="https://ico.org.uk/for-organisations/uk-gdpr-guidance-and-resources/employment/monitoring-workers/" TargetMode="External"/><Relationship Id="rIdpomtbalbhne8atdfz9m-p" Type="http://schemas.openxmlformats.org/officeDocument/2006/relationships/hyperlink" Target="https://ico.org.uk/for-organisations/uk-gdpr-guidance-and-resources/security/a-guide-to-data-security/" TargetMode="External"/><Relationship Id="rId15" Type="http://schemas.openxmlformats.org/officeDocument/2006/relationships/image" Target="media/728fc2a3bf8c8af21db16c83d499e1c1a95b6c0f.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 Template</dc:title>
  <dc:subject>ISO/IEC 27001:2022 acceptable use policy template (Annex A 5.10)</dc:subject>
  <dc:creator>Sovereign Secure Ltd</dc:creator>
  <cp:keywords>ISO 27001, acceptable use policy, Annex A 5.10, IT acceptable use, staff IT policy, monitoring, template</cp:keywords>
  <dc:description>Free acceptable use policy template from sovereignsecure.co.uk, version October 2026.</dc:description>
  <cp:lastModifiedBy>Sovereign Secure Ltd</cp:lastModifiedBy>
  <cp:revision>1</cp:revision>
  <dcterms:created xsi:type="dcterms:W3CDTF">2026-10-13T12:54:13.567Z</dcterms:created>
  <dcterms:modified xsi:type="dcterms:W3CDTF">2026-10-13T12:54:13.567Z</dcterms:modified>
</cp:coreProperties>
</file>

<file path=docProps/custom.xml><?xml version="1.0" encoding="utf-8"?>
<Properties xmlns="http://schemas.openxmlformats.org/officeDocument/2006/custom-properties" xmlns:vt="http://schemas.openxmlformats.org/officeDocument/2006/docPropsVTypes"/>
</file>